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459C9" w14:textId="77777777" w:rsidR="00D47085" w:rsidRDefault="00D47085" w:rsidP="00D47085">
      <w:pPr>
        <w:pStyle w:val="Corpsdetexte"/>
        <w:jc w:val="center"/>
        <w:rPr>
          <w:rFonts w:ascii="Times New Roman"/>
        </w:rPr>
        <w:sectPr w:rsidR="00D47085" w:rsidSect="00D47085">
          <w:headerReference w:type="default" r:id="rId8"/>
          <w:footerReference w:type="even" r:id="rId9"/>
          <w:footerReference w:type="default" r:id="rId10"/>
          <w:pgSz w:w="11910" w:h="16840"/>
          <w:pgMar w:top="964" w:right="964" w:bottom="964" w:left="964" w:header="720" w:footer="720" w:gutter="0"/>
          <w:cols w:space="720"/>
        </w:sectPr>
      </w:pPr>
    </w:p>
    <w:p w14:paraId="09155355" w14:textId="77777777" w:rsidR="00D47085" w:rsidRDefault="00D47085" w:rsidP="00D47085">
      <w:pPr>
        <w:pStyle w:val="Corpsdetexte"/>
        <w:ind w:left="128"/>
        <w:jc w:val="center"/>
        <w:rPr>
          <w:rFonts w:ascii="Times New Roman"/>
        </w:rPr>
      </w:pPr>
    </w:p>
    <w:p w14:paraId="122A9928" w14:textId="77777777" w:rsidR="00D47085" w:rsidRDefault="00D47085" w:rsidP="00D47085">
      <w:pPr>
        <w:pStyle w:val="Corpsdetexte"/>
        <w:ind w:left="128"/>
        <w:jc w:val="center"/>
        <w:rPr>
          <w:rFonts w:ascii="Times New Roman"/>
        </w:rPr>
      </w:pPr>
    </w:p>
    <w:p w14:paraId="07424CA1" w14:textId="77777777" w:rsidR="00D47085" w:rsidRPr="0079276E" w:rsidRDefault="00D47085" w:rsidP="00D47085">
      <w:pPr>
        <w:pStyle w:val="Corpsdetexte"/>
        <w:ind w:left="128"/>
        <w:jc w:val="center"/>
        <w:rPr>
          <w:rFonts w:ascii="Times New Roman"/>
        </w:rPr>
      </w:pPr>
    </w:p>
    <w:p w14:paraId="15827FB4" w14:textId="77777777" w:rsidR="00D47085" w:rsidRPr="00965B19" w:rsidRDefault="00D47085" w:rsidP="00D47085">
      <w:pPr>
        <w:pStyle w:val="Titre1"/>
      </w:pPr>
      <w:r w:rsidRPr="00965B19">
        <w:t>COMMUNIQUE DE PRESSE</w:t>
      </w:r>
    </w:p>
    <w:p w14:paraId="4A69CD3E" w14:textId="77777777" w:rsidR="00D47085" w:rsidRPr="00290741" w:rsidRDefault="00D47085" w:rsidP="00D47085">
      <w:pPr>
        <w:pStyle w:val="Corpsdetexte"/>
        <w:spacing w:before="1"/>
        <w:rPr>
          <w:b/>
          <w:sz w:val="25"/>
        </w:rPr>
      </w:pPr>
    </w:p>
    <w:p w14:paraId="57F3ADD8" w14:textId="77777777" w:rsidR="00D47085" w:rsidRPr="00F407FB" w:rsidRDefault="00D47085" w:rsidP="00D47085">
      <w:pPr>
        <w:pStyle w:val="Date2"/>
      </w:pPr>
      <w:r>
        <w:t xml:space="preserve">Paris, </w:t>
      </w:r>
      <w:r w:rsidRPr="00F407FB">
        <w:t xml:space="preserve">le </w:t>
      </w:r>
      <w:r w:rsidR="00551A25">
        <w:t>22</w:t>
      </w:r>
      <w:r w:rsidR="00860457">
        <w:t>/0</w:t>
      </w:r>
      <w:r w:rsidR="00EC038D">
        <w:t>2</w:t>
      </w:r>
      <w:r w:rsidR="00860457">
        <w:t>/2021</w:t>
      </w:r>
    </w:p>
    <w:p w14:paraId="3A612E02" w14:textId="77777777" w:rsidR="00D47085" w:rsidRPr="00290741" w:rsidRDefault="00D47085" w:rsidP="00D47085">
      <w:pPr>
        <w:pStyle w:val="Corpsdetexte"/>
        <w:rPr>
          <w:sz w:val="24"/>
        </w:rPr>
      </w:pPr>
    </w:p>
    <w:p w14:paraId="3D2EC3D7" w14:textId="77777777" w:rsidR="00D47085" w:rsidRDefault="00D47085" w:rsidP="00D47085">
      <w:pPr>
        <w:pStyle w:val="Date1"/>
      </w:pPr>
    </w:p>
    <w:p w14:paraId="461BE306" w14:textId="77777777" w:rsidR="00D47085" w:rsidRPr="00DA2826" w:rsidRDefault="00F12D2E" w:rsidP="00D47085">
      <w:pPr>
        <w:pStyle w:val="Corpsdetexte"/>
        <w:ind w:right="24"/>
        <w:rPr>
          <w:rFonts w:cstheme="minorHAnsi"/>
          <w:b/>
          <w:color w:val="002060"/>
          <w:sz w:val="30"/>
          <w:szCs w:val="30"/>
        </w:rPr>
      </w:pPr>
      <w:r>
        <w:rPr>
          <w:rFonts w:cstheme="minorHAnsi"/>
          <w:b/>
          <w:color w:val="002060"/>
          <w:sz w:val="30"/>
          <w:szCs w:val="30"/>
        </w:rPr>
        <w:t>Publication de l’Index de l’éga</w:t>
      </w:r>
      <w:r w:rsidR="00551A25">
        <w:rPr>
          <w:rFonts w:cstheme="minorHAnsi"/>
          <w:b/>
          <w:color w:val="002060"/>
          <w:sz w:val="30"/>
          <w:szCs w:val="30"/>
        </w:rPr>
        <w:t>lité professionnelle 2021 : J-7</w:t>
      </w:r>
    </w:p>
    <w:p w14:paraId="71EA25C6" w14:textId="77777777" w:rsidR="00216483" w:rsidRDefault="00216483" w:rsidP="00F12D2E">
      <w:pPr>
        <w:jc w:val="both"/>
        <w:rPr>
          <w:rFonts w:asciiTheme="minorHAnsi" w:hAnsiTheme="minorHAnsi" w:cstheme="minorHAnsi"/>
          <w:color w:val="231F20"/>
        </w:rPr>
      </w:pPr>
    </w:p>
    <w:p w14:paraId="7B8C6F84" w14:textId="3763275F" w:rsidR="00175BE0" w:rsidRDefault="00175BE0" w:rsidP="00F12D2E">
      <w:pPr>
        <w:jc w:val="both"/>
        <w:rPr>
          <w:rFonts w:cstheme="minorHAnsi"/>
          <w:b/>
          <w:sz w:val="24"/>
        </w:rPr>
      </w:pPr>
      <w:r>
        <w:rPr>
          <w:rFonts w:cstheme="minorHAnsi"/>
          <w:b/>
          <w:sz w:val="24"/>
        </w:rPr>
        <w:t>Toutes l</w:t>
      </w:r>
      <w:r w:rsidR="00F12D2E">
        <w:rPr>
          <w:rFonts w:cstheme="minorHAnsi"/>
          <w:b/>
          <w:sz w:val="24"/>
        </w:rPr>
        <w:t>es entreprises d</w:t>
      </w:r>
      <w:r w:rsidR="005E54ED">
        <w:rPr>
          <w:rFonts w:cstheme="minorHAnsi"/>
          <w:b/>
          <w:sz w:val="24"/>
        </w:rPr>
        <w:t>e</w:t>
      </w:r>
      <w:r w:rsidR="00F12D2E">
        <w:rPr>
          <w:rFonts w:cstheme="minorHAnsi"/>
          <w:b/>
          <w:sz w:val="24"/>
        </w:rPr>
        <w:t xml:space="preserve"> 50 salariés</w:t>
      </w:r>
      <w:r w:rsidR="005E54ED">
        <w:rPr>
          <w:rFonts w:cstheme="minorHAnsi"/>
          <w:b/>
          <w:sz w:val="24"/>
        </w:rPr>
        <w:t xml:space="preserve"> et plus</w:t>
      </w:r>
      <w:r w:rsidR="00F12D2E" w:rsidRPr="00F12D2E">
        <w:rPr>
          <w:rFonts w:cstheme="minorHAnsi"/>
          <w:b/>
          <w:sz w:val="24"/>
        </w:rPr>
        <w:t xml:space="preserve"> doivent </w:t>
      </w:r>
      <w:r>
        <w:rPr>
          <w:rFonts w:cstheme="minorHAnsi"/>
          <w:b/>
          <w:sz w:val="24"/>
        </w:rPr>
        <w:t xml:space="preserve">calculer et </w:t>
      </w:r>
      <w:r w:rsidR="00F12D2E" w:rsidRPr="00F12D2E">
        <w:rPr>
          <w:rFonts w:cstheme="minorHAnsi"/>
          <w:b/>
          <w:sz w:val="24"/>
        </w:rPr>
        <w:t xml:space="preserve">publier leur Index de l’égalité professionnelle </w:t>
      </w:r>
      <w:r w:rsidRPr="00F12D2E">
        <w:rPr>
          <w:rFonts w:cstheme="minorHAnsi"/>
          <w:b/>
          <w:sz w:val="24"/>
        </w:rPr>
        <w:t>le 1</w:t>
      </w:r>
      <w:r w:rsidRPr="00F12D2E">
        <w:rPr>
          <w:rFonts w:cstheme="minorHAnsi"/>
          <w:b/>
          <w:sz w:val="24"/>
          <w:vertAlign w:val="superscript"/>
        </w:rPr>
        <w:t>er</w:t>
      </w:r>
      <w:r w:rsidRPr="00F12D2E">
        <w:rPr>
          <w:rFonts w:cstheme="minorHAnsi"/>
          <w:b/>
          <w:sz w:val="24"/>
        </w:rPr>
        <w:t xml:space="preserve"> mars 2021 au plus tard</w:t>
      </w:r>
      <w:r>
        <w:rPr>
          <w:rFonts w:cstheme="minorHAnsi"/>
          <w:b/>
          <w:sz w:val="24"/>
        </w:rPr>
        <w:t xml:space="preserve">. Elles doivent aussi </w:t>
      </w:r>
      <w:r w:rsidR="00F12D2E" w:rsidRPr="00F12D2E">
        <w:rPr>
          <w:rFonts w:cstheme="minorHAnsi"/>
          <w:b/>
          <w:sz w:val="24"/>
        </w:rPr>
        <w:t>transmettre leur note globale ainsi que leurs indicateurs à la Direccte ou Dieccte</w:t>
      </w:r>
      <w:r w:rsidR="00B2551C">
        <w:rPr>
          <w:rFonts w:cstheme="minorHAnsi"/>
          <w:b/>
          <w:sz w:val="24"/>
        </w:rPr>
        <w:t xml:space="preserve"> et à leur CSE</w:t>
      </w:r>
      <w:r w:rsidR="00F12D2E" w:rsidRPr="00F12D2E">
        <w:rPr>
          <w:rFonts w:cstheme="minorHAnsi"/>
          <w:b/>
          <w:sz w:val="24"/>
        </w:rPr>
        <w:t xml:space="preserve">. </w:t>
      </w:r>
    </w:p>
    <w:p w14:paraId="559F184F" w14:textId="77777777" w:rsidR="00175BE0" w:rsidRDefault="00175BE0" w:rsidP="00F12D2E">
      <w:pPr>
        <w:jc w:val="both"/>
        <w:rPr>
          <w:rFonts w:cstheme="minorHAnsi"/>
          <w:b/>
          <w:sz w:val="24"/>
        </w:rPr>
      </w:pPr>
    </w:p>
    <w:p w14:paraId="53746431" w14:textId="77777777" w:rsidR="00F12D2E" w:rsidRPr="006547B9" w:rsidRDefault="00F12D2E" w:rsidP="00F12D2E">
      <w:pPr>
        <w:jc w:val="both"/>
        <w:rPr>
          <w:rFonts w:cstheme="minorHAnsi"/>
          <w:sz w:val="22"/>
          <w:szCs w:val="22"/>
        </w:rPr>
      </w:pPr>
      <w:bookmarkStart w:id="0" w:name="_GoBack"/>
      <w:r w:rsidRPr="006547B9">
        <w:rPr>
          <w:rFonts w:cstheme="minorHAnsi"/>
          <w:sz w:val="22"/>
          <w:szCs w:val="22"/>
        </w:rPr>
        <w:t xml:space="preserve">Obligation légale, l'Index </w:t>
      </w:r>
      <w:r w:rsidR="00175BE0" w:rsidRPr="006547B9">
        <w:rPr>
          <w:rFonts w:cstheme="minorHAnsi"/>
          <w:sz w:val="22"/>
          <w:szCs w:val="22"/>
        </w:rPr>
        <w:t xml:space="preserve">de l’égalité professionnelle </w:t>
      </w:r>
      <w:r w:rsidRPr="006547B9">
        <w:rPr>
          <w:rFonts w:cstheme="minorHAnsi"/>
          <w:sz w:val="22"/>
          <w:szCs w:val="22"/>
        </w:rPr>
        <w:t xml:space="preserve">a été conçu comme un outil simple et pratique. Il permet aux entreprises de mesurer les écarts de rémunération entre les femmes et les hommes et met en évidence les points de progression sur lesquels agir quand ces disparités sont injustifiées. </w:t>
      </w:r>
    </w:p>
    <w:p w14:paraId="33348F4F" w14:textId="77777777" w:rsidR="004229F3" w:rsidRDefault="004229F3" w:rsidP="00A154A9">
      <w:pPr>
        <w:jc w:val="both"/>
        <w:rPr>
          <w:rFonts w:cstheme="minorHAnsi"/>
          <w:b/>
          <w:sz w:val="24"/>
        </w:rPr>
      </w:pPr>
    </w:p>
    <w:p w14:paraId="026A8592" w14:textId="77777777" w:rsidR="00204D20" w:rsidRDefault="00E43327" w:rsidP="00F12D2E">
      <w:pPr>
        <w:jc w:val="both"/>
        <w:rPr>
          <w:rFonts w:cstheme="minorHAnsi"/>
          <w:iCs/>
          <w:sz w:val="22"/>
        </w:rPr>
      </w:pPr>
      <w:r w:rsidRPr="00175BE0">
        <w:rPr>
          <w:rFonts w:cstheme="minorHAnsi"/>
          <w:b/>
          <w:iCs/>
          <w:sz w:val="22"/>
        </w:rPr>
        <w:t>Des outils pour le calculer</w:t>
      </w:r>
      <w:r>
        <w:rPr>
          <w:rFonts w:cstheme="minorHAnsi"/>
          <w:iCs/>
          <w:sz w:val="22"/>
        </w:rPr>
        <w:t xml:space="preserve">. </w:t>
      </w:r>
      <w:r w:rsidR="00204D20">
        <w:rPr>
          <w:rFonts w:cstheme="minorHAnsi"/>
          <w:iCs/>
          <w:sz w:val="22"/>
        </w:rPr>
        <w:t xml:space="preserve">Pour </w:t>
      </w:r>
      <w:r w:rsidR="00551A25">
        <w:rPr>
          <w:rFonts w:cstheme="minorHAnsi"/>
          <w:iCs/>
          <w:sz w:val="22"/>
        </w:rPr>
        <w:t xml:space="preserve">vous </w:t>
      </w:r>
      <w:r w:rsidR="00204D20">
        <w:rPr>
          <w:rFonts w:cstheme="minorHAnsi"/>
          <w:iCs/>
          <w:sz w:val="22"/>
        </w:rPr>
        <w:t xml:space="preserve">aider </w:t>
      </w:r>
      <w:r w:rsidR="00551A25">
        <w:rPr>
          <w:rFonts w:cstheme="minorHAnsi"/>
          <w:iCs/>
          <w:sz w:val="22"/>
        </w:rPr>
        <w:t>à calculer votre Index</w:t>
      </w:r>
      <w:r w:rsidR="00175BE0">
        <w:rPr>
          <w:rFonts w:cstheme="minorHAnsi"/>
          <w:iCs/>
          <w:sz w:val="22"/>
        </w:rPr>
        <w:t>,</w:t>
      </w:r>
      <w:r w:rsidR="00204D20">
        <w:rPr>
          <w:rFonts w:cstheme="minorHAnsi"/>
          <w:iCs/>
          <w:sz w:val="22"/>
        </w:rPr>
        <w:t xml:space="preserve"> </w:t>
      </w:r>
      <w:r w:rsidR="00551A25">
        <w:rPr>
          <w:rFonts w:cstheme="minorHAnsi"/>
          <w:iCs/>
          <w:sz w:val="22"/>
        </w:rPr>
        <w:t>des</w:t>
      </w:r>
      <w:r w:rsidR="00DF522D">
        <w:rPr>
          <w:rFonts w:cstheme="minorHAnsi"/>
          <w:iCs/>
          <w:sz w:val="22"/>
        </w:rPr>
        <w:t xml:space="preserve"> outils</w:t>
      </w:r>
      <w:r w:rsidR="00204D20">
        <w:rPr>
          <w:rFonts w:cstheme="minorHAnsi"/>
          <w:iCs/>
          <w:sz w:val="22"/>
        </w:rPr>
        <w:t> </w:t>
      </w:r>
      <w:r w:rsidR="00551A25">
        <w:rPr>
          <w:rFonts w:cstheme="minorHAnsi"/>
          <w:iCs/>
          <w:sz w:val="22"/>
        </w:rPr>
        <w:t xml:space="preserve">existent </w:t>
      </w:r>
      <w:r w:rsidR="00204D20">
        <w:rPr>
          <w:rFonts w:cstheme="minorHAnsi"/>
          <w:iCs/>
          <w:sz w:val="22"/>
        </w:rPr>
        <w:t xml:space="preserve">: </w:t>
      </w:r>
    </w:p>
    <w:p w14:paraId="4B92EA89" w14:textId="77777777" w:rsidR="00204D20" w:rsidRPr="00204D20" w:rsidRDefault="00FE7798" w:rsidP="00204D20">
      <w:pPr>
        <w:numPr>
          <w:ilvl w:val="0"/>
          <w:numId w:val="6"/>
        </w:numPr>
        <w:jc w:val="both"/>
        <w:rPr>
          <w:rFonts w:cstheme="minorHAnsi"/>
          <w:iCs/>
          <w:sz w:val="22"/>
        </w:rPr>
      </w:pPr>
      <w:hyperlink r:id="rId11" w:history="1">
        <w:r w:rsidR="00204D20" w:rsidRPr="00204D20">
          <w:rPr>
            <w:rStyle w:val="Lienhypertexte"/>
            <w:rFonts w:cstheme="minorHAnsi"/>
            <w:iCs/>
            <w:sz w:val="22"/>
          </w:rPr>
          <w:t>index-egapro.travail.gouv.fr</w:t>
        </w:r>
      </w:hyperlink>
      <w:r w:rsidR="00204D20" w:rsidRPr="00204D20">
        <w:rPr>
          <w:rFonts w:cstheme="minorHAnsi"/>
          <w:iCs/>
          <w:sz w:val="22"/>
        </w:rPr>
        <w:t xml:space="preserve"> : un simulateur en ligne, qui </w:t>
      </w:r>
      <w:r w:rsidR="00204D20">
        <w:rPr>
          <w:rFonts w:cstheme="minorHAnsi"/>
          <w:iCs/>
          <w:sz w:val="22"/>
        </w:rPr>
        <w:t>permet</w:t>
      </w:r>
      <w:r w:rsidR="00204D20" w:rsidRPr="00204D20">
        <w:rPr>
          <w:rFonts w:cstheme="minorHAnsi"/>
          <w:iCs/>
          <w:sz w:val="22"/>
        </w:rPr>
        <w:t xml:space="preserve">, à partir des données de </w:t>
      </w:r>
      <w:r w:rsidR="00204D20">
        <w:rPr>
          <w:rFonts w:cstheme="minorHAnsi"/>
          <w:iCs/>
          <w:sz w:val="22"/>
        </w:rPr>
        <w:t>l’entreprise, de calculer son</w:t>
      </w:r>
      <w:r w:rsidR="00204D20" w:rsidRPr="00204D20">
        <w:rPr>
          <w:rFonts w:cstheme="minorHAnsi"/>
          <w:iCs/>
          <w:sz w:val="22"/>
        </w:rPr>
        <w:t xml:space="preserve"> Index et ses indi</w:t>
      </w:r>
      <w:r w:rsidR="00204D20">
        <w:rPr>
          <w:rFonts w:cstheme="minorHAnsi"/>
          <w:iCs/>
          <w:sz w:val="22"/>
        </w:rPr>
        <w:t>cateurs et de les transmettre à</w:t>
      </w:r>
      <w:r w:rsidR="00204D20" w:rsidRPr="00204D20">
        <w:rPr>
          <w:rFonts w:cstheme="minorHAnsi"/>
          <w:iCs/>
          <w:sz w:val="22"/>
        </w:rPr>
        <w:t xml:space="preserve"> l'administration ;  </w:t>
      </w:r>
    </w:p>
    <w:p w14:paraId="5E3C61F6" w14:textId="77777777" w:rsidR="00204D20" w:rsidRPr="00204D20" w:rsidRDefault="00204D20" w:rsidP="00204D20">
      <w:pPr>
        <w:numPr>
          <w:ilvl w:val="0"/>
          <w:numId w:val="6"/>
        </w:numPr>
        <w:jc w:val="both"/>
        <w:rPr>
          <w:rFonts w:cstheme="minorHAnsi"/>
          <w:iCs/>
          <w:sz w:val="22"/>
        </w:rPr>
      </w:pPr>
      <w:r w:rsidRPr="00204D20">
        <w:rPr>
          <w:rFonts w:cstheme="minorHAnsi"/>
          <w:iCs/>
          <w:sz w:val="22"/>
        </w:rPr>
        <w:t xml:space="preserve">Des stages de formation </w:t>
      </w:r>
      <w:r w:rsidR="007C028D">
        <w:rPr>
          <w:rFonts w:cstheme="minorHAnsi"/>
          <w:iCs/>
          <w:sz w:val="22"/>
        </w:rPr>
        <w:t xml:space="preserve">gratuits </w:t>
      </w:r>
      <w:r w:rsidRPr="00204D20">
        <w:rPr>
          <w:rFonts w:cstheme="minorHAnsi"/>
          <w:iCs/>
          <w:sz w:val="22"/>
        </w:rPr>
        <w:t xml:space="preserve">de trois heures et à distance, sur le calcul de l'Index et sur les mesures correctives à mettre en place </w:t>
      </w:r>
      <w:r w:rsidR="00D24827">
        <w:rPr>
          <w:rFonts w:cstheme="minorHAnsi"/>
          <w:iCs/>
          <w:sz w:val="22"/>
        </w:rPr>
        <w:t>quand l’</w:t>
      </w:r>
      <w:r w:rsidRPr="00204D20">
        <w:rPr>
          <w:rFonts w:cstheme="minorHAnsi"/>
          <w:iCs/>
          <w:sz w:val="22"/>
        </w:rPr>
        <w:t xml:space="preserve">Index révèle des disparités entre les femmes et les hommes. </w:t>
      </w:r>
      <w:r w:rsidR="00175BE0">
        <w:rPr>
          <w:rFonts w:cstheme="minorHAnsi"/>
          <w:iCs/>
          <w:sz w:val="22"/>
        </w:rPr>
        <w:t>Ils sont dédiés aux PME.</w:t>
      </w:r>
      <w:r w:rsidR="00551A25">
        <w:rPr>
          <w:rFonts w:cstheme="minorHAnsi"/>
          <w:iCs/>
          <w:sz w:val="22"/>
        </w:rPr>
        <w:t xml:space="preserve"> Attention ces formations s’arrêteront le 31 mars.</w:t>
      </w:r>
    </w:p>
    <w:p w14:paraId="4D870331" w14:textId="77777777" w:rsidR="00DC7D8D" w:rsidRDefault="00204D20" w:rsidP="00F12D2E">
      <w:pPr>
        <w:numPr>
          <w:ilvl w:val="0"/>
          <w:numId w:val="6"/>
        </w:numPr>
        <w:jc w:val="both"/>
        <w:rPr>
          <w:rFonts w:cstheme="minorHAnsi"/>
          <w:iCs/>
          <w:sz w:val="22"/>
        </w:rPr>
      </w:pPr>
      <w:r w:rsidRPr="00204D20">
        <w:rPr>
          <w:rFonts w:cstheme="minorHAnsi"/>
          <w:iCs/>
          <w:sz w:val="22"/>
        </w:rPr>
        <w:t xml:space="preserve">Des modules </w:t>
      </w:r>
      <w:r w:rsidR="007C028D">
        <w:rPr>
          <w:rFonts w:cstheme="minorHAnsi"/>
          <w:iCs/>
          <w:sz w:val="22"/>
        </w:rPr>
        <w:t xml:space="preserve">gratuits </w:t>
      </w:r>
      <w:r w:rsidRPr="00204D20">
        <w:rPr>
          <w:rFonts w:cstheme="minorHAnsi"/>
          <w:iCs/>
          <w:sz w:val="22"/>
        </w:rPr>
        <w:t>de formati</w:t>
      </w:r>
      <w:r w:rsidR="00D24827">
        <w:rPr>
          <w:rFonts w:cstheme="minorHAnsi"/>
          <w:iCs/>
          <w:sz w:val="22"/>
        </w:rPr>
        <w:t>on en ligne pour permettre aux entreprises de se former à leur</w:t>
      </w:r>
      <w:r w:rsidRPr="00204D20">
        <w:rPr>
          <w:rFonts w:cstheme="minorHAnsi"/>
          <w:iCs/>
          <w:sz w:val="22"/>
        </w:rPr>
        <w:t xml:space="preserve"> rythme. </w:t>
      </w:r>
      <w:r w:rsidR="00175BE0">
        <w:rPr>
          <w:rFonts w:cstheme="minorHAnsi"/>
          <w:iCs/>
          <w:sz w:val="22"/>
        </w:rPr>
        <w:t>Ils sont dédiés aux PME.</w:t>
      </w:r>
    </w:p>
    <w:p w14:paraId="4F924D0F" w14:textId="77777777" w:rsidR="00D24827" w:rsidRDefault="00175BE0" w:rsidP="006547B9">
      <w:pPr>
        <w:pStyle w:val="Paragraphedeliste"/>
        <w:numPr>
          <w:ilvl w:val="0"/>
          <w:numId w:val="7"/>
        </w:numPr>
        <w:jc w:val="both"/>
        <w:rPr>
          <w:rFonts w:cstheme="minorHAnsi"/>
          <w:iCs/>
          <w:sz w:val="22"/>
        </w:rPr>
      </w:pPr>
      <w:r>
        <w:rPr>
          <w:rFonts w:cstheme="minorHAnsi"/>
          <w:iCs/>
          <w:sz w:val="22"/>
        </w:rPr>
        <w:t xml:space="preserve">Des référents sont par </w:t>
      </w:r>
      <w:r w:rsidR="007C028D">
        <w:rPr>
          <w:rFonts w:cstheme="minorHAnsi"/>
          <w:iCs/>
          <w:sz w:val="22"/>
        </w:rPr>
        <w:t xml:space="preserve">ailleurs </w:t>
      </w:r>
      <w:r>
        <w:rPr>
          <w:rFonts w:cstheme="minorHAnsi"/>
          <w:iCs/>
          <w:sz w:val="22"/>
        </w:rPr>
        <w:t xml:space="preserve">joignables au sein des Direccte et Dieccte. </w:t>
      </w:r>
    </w:p>
    <w:p w14:paraId="3AA3259F" w14:textId="77777777" w:rsidR="00175BE0" w:rsidRPr="006547B9" w:rsidRDefault="00175BE0" w:rsidP="006547B9">
      <w:pPr>
        <w:pStyle w:val="Paragraphedeliste"/>
        <w:ind w:left="720" w:firstLine="0"/>
        <w:jc w:val="both"/>
        <w:rPr>
          <w:rFonts w:cstheme="minorHAnsi"/>
          <w:iCs/>
          <w:sz w:val="22"/>
        </w:rPr>
      </w:pPr>
    </w:p>
    <w:p w14:paraId="1FE71131" w14:textId="77777777" w:rsidR="00E43327" w:rsidRDefault="00175BE0" w:rsidP="00186DB7">
      <w:pPr>
        <w:jc w:val="both"/>
        <w:rPr>
          <w:rFonts w:cstheme="minorHAnsi"/>
          <w:bCs/>
          <w:iCs/>
          <w:sz w:val="22"/>
        </w:rPr>
      </w:pPr>
      <w:r>
        <w:rPr>
          <w:rFonts w:cstheme="minorHAnsi"/>
          <w:bCs/>
          <w:iCs/>
          <w:sz w:val="22"/>
        </w:rPr>
        <w:t>L</w:t>
      </w:r>
      <w:r w:rsidR="00186DB7">
        <w:rPr>
          <w:rFonts w:cstheme="minorHAnsi"/>
          <w:bCs/>
          <w:iCs/>
          <w:sz w:val="22"/>
        </w:rPr>
        <w:t>’</w:t>
      </w:r>
      <w:r>
        <w:rPr>
          <w:rFonts w:cstheme="minorHAnsi"/>
          <w:bCs/>
          <w:iCs/>
          <w:sz w:val="22"/>
        </w:rPr>
        <w:t>I</w:t>
      </w:r>
      <w:r w:rsidR="00186DB7">
        <w:rPr>
          <w:rFonts w:cstheme="minorHAnsi"/>
          <w:bCs/>
          <w:iCs/>
          <w:sz w:val="22"/>
        </w:rPr>
        <w:t>ndex est une</w:t>
      </w:r>
      <w:r w:rsidR="00186DB7" w:rsidRPr="00FA37C6">
        <w:rPr>
          <w:rFonts w:cstheme="minorHAnsi"/>
          <w:bCs/>
          <w:iCs/>
          <w:sz w:val="22"/>
        </w:rPr>
        <w:t xml:space="preserve"> note sur 100 points, calculée</w:t>
      </w:r>
      <w:r w:rsidR="00186DB7">
        <w:rPr>
          <w:rFonts w:cstheme="minorHAnsi"/>
          <w:bCs/>
          <w:iCs/>
          <w:sz w:val="22"/>
        </w:rPr>
        <w:t xml:space="preserve"> chaque année</w:t>
      </w:r>
      <w:r w:rsidR="00186DB7" w:rsidRPr="00FA37C6">
        <w:rPr>
          <w:rFonts w:cstheme="minorHAnsi"/>
          <w:bCs/>
          <w:iCs/>
          <w:sz w:val="22"/>
        </w:rPr>
        <w:t xml:space="preserve"> à pa</w:t>
      </w:r>
      <w:r w:rsidR="00186DB7">
        <w:rPr>
          <w:rFonts w:cstheme="minorHAnsi"/>
          <w:bCs/>
          <w:iCs/>
          <w:sz w:val="22"/>
        </w:rPr>
        <w:t xml:space="preserve">rtir de </w:t>
      </w:r>
      <w:r w:rsidR="00E43327">
        <w:rPr>
          <w:rFonts w:cstheme="minorHAnsi"/>
          <w:bCs/>
          <w:iCs/>
          <w:sz w:val="22"/>
        </w:rPr>
        <w:t xml:space="preserve">4 ou </w:t>
      </w:r>
      <w:r w:rsidR="00186DB7">
        <w:rPr>
          <w:rFonts w:cstheme="minorHAnsi"/>
          <w:bCs/>
          <w:iCs/>
          <w:sz w:val="22"/>
        </w:rPr>
        <w:t>5 indicateurs</w:t>
      </w:r>
      <w:r w:rsidR="009314A8">
        <w:rPr>
          <w:rFonts w:cstheme="minorHAnsi"/>
          <w:bCs/>
          <w:iCs/>
          <w:sz w:val="22"/>
        </w:rPr>
        <w:t xml:space="preserve"> suivant la taille de l’entreprise</w:t>
      </w:r>
      <w:r w:rsidR="00186DB7">
        <w:rPr>
          <w:rFonts w:cstheme="minorHAnsi"/>
          <w:bCs/>
          <w:iCs/>
          <w:sz w:val="22"/>
        </w:rPr>
        <w:t xml:space="preserve">. </w:t>
      </w:r>
      <w:r w:rsidR="00186DB7" w:rsidRPr="00204D20">
        <w:rPr>
          <w:rFonts w:cstheme="minorHAnsi"/>
          <w:bCs/>
          <w:iCs/>
          <w:sz w:val="22"/>
        </w:rPr>
        <w:t>En cas d’Index inférieur à 75 points, l’entreprise doit prendre des mesures correctives, pour diminuer les écarts dans un délai de 3 ans</w:t>
      </w:r>
      <w:r w:rsidR="00186DB7">
        <w:rPr>
          <w:rFonts w:cstheme="minorHAnsi"/>
          <w:bCs/>
          <w:iCs/>
          <w:sz w:val="22"/>
        </w:rPr>
        <w:t xml:space="preserve">. </w:t>
      </w:r>
    </w:p>
    <w:p w14:paraId="7E8B42C3" w14:textId="77777777" w:rsidR="00E43327" w:rsidRDefault="00E43327" w:rsidP="00186DB7">
      <w:pPr>
        <w:jc w:val="both"/>
        <w:rPr>
          <w:rFonts w:cstheme="minorHAnsi"/>
          <w:bCs/>
          <w:iCs/>
          <w:sz w:val="22"/>
        </w:rPr>
      </w:pPr>
    </w:p>
    <w:p w14:paraId="3F8D3B5C" w14:textId="77777777" w:rsidR="00186DB7" w:rsidRDefault="00175BE0" w:rsidP="00186DB7">
      <w:pPr>
        <w:jc w:val="both"/>
        <w:rPr>
          <w:rFonts w:cstheme="minorHAnsi"/>
          <w:bCs/>
          <w:iCs/>
          <w:sz w:val="22"/>
        </w:rPr>
      </w:pPr>
      <w:r>
        <w:rPr>
          <w:rFonts w:cstheme="minorHAnsi"/>
          <w:bCs/>
          <w:iCs/>
          <w:sz w:val="22"/>
        </w:rPr>
        <w:t xml:space="preserve">Alors que la crise sanitaire frappe souvent plus fortement les femmes que leurs collègues masculins </w:t>
      </w:r>
      <w:r w:rsidR="009314A8">
        <w:rPr>
          <w:rFonts w:cstheme="minorHAnsi"/>
          <w:bCs/>
          <w:iCs/>
          <w:sz w:val="22"/>
        </w:rPr>
        <w:t xml:space="preserve">comme le constate le bureau international du travail </w:t>
      </w:r>
      <w:r>
        <w:rPr>
          <w:rFonts w:cstheme="minorHAnsi"/>
          <w:bCs/>
          <w:iCs/>
          <w:sz w:val="22"/>
        </w:rPr>
        <w:t xml:space="preserve">et que celles-ci </w:t>
      </w:r>
      <w:r w:rsidR="00F43C0D">
        <w:rPr>
          <w:rFonts w:cstheme="minorHAnsi"/>
          <w:bCs/>
          <w:iCs/>
          <w:sz w:val="22"/>
        </w:rPr>
        <w:t xml:space="preserve">sont </w:t>
      </w:r>
      <w:r w:rsidR="00F43C0D" w:rsidRPr="00DC7D8D">
        <w:rPr>
          <w:rFonts w:cstheme="minorHAnsi"/>
          <w:iCs/>
          <w:sz w:val="22"/>
        </w:rPr>
        <w:t>surreprésentées dans les métiers dits de la « première ou deuxième ligne »</w:t>
      </w:r>
      <w:r w:rsidR="00F43C0D">
        <w:rPr>
          <w:rFonts w:cstheme="minorHAnsi"/>
          <w:iCs/>
          <w:sz w:val="22"/>
        </w:rPr>
        <w:t>, l</w:t>
      </w:r>
      <w:r w:rsidR="00186DB7" w:rsidRPr="00FA37C6">
        <w:rPr>
          <w:rFonts w:cstheme="minorHAnsi"/>
          <w:bCs/>
          <w:iCs/>
          <w:sz w:val="22"/>
        </w:rPr>
        <w:t xml:space="preserve">’égalité </w:t>
      </w:r>
      <w:r w:rsidR="00186DB7" w:rsidRPr="00FA37C6">
        <w:rPr>
          <w:rFonts w:cstheme="minorHAnsi"/>
          <w:bCs/>
          <w:iCs/>
          <w:sz w:val="22"/>
        </w:rPr>
        <w:lastRenderedPageBreak/>
        <w:t>professionnelle entre les femmes et les hommes</w:t>
      </w:r>
      <w:r w:rsidR="007C028D">
        <w:rPr>
          <w:rFonts w:cstheme="minorHAnsi"/>
          <w:bCs/>
          <w:iCs/>
          <w:sz w:val="22"/>
        </w:rPr>
        <w:t>,</w:t>
      </w:r>
      <w:r w:rsidR="00186DB7" w:rsidRPr="00FA37C6">
        <w:rPr>
          <w:rFonts w:cstheme="minorHAnsi"/>
          <w:bCs/>
          <w:iCs/>
          <w:sz w:val="22"/>
        </w:rPr>
        <w:t xml:space="preserve"> exigence de justice mais aussi levier de performance économique</w:t>
      </w:r>
      <w:r w:rsidR="007C028D">
        <w:rPr>
          <w:rFonts w:cstheme="minorHAnsi"/>
          <w:bCs/>
          <w:iCs/>
          <w:sz w:val="22"/>
        </w:rPr>
        <w:t xml:space="preserve">, est </w:t>
      </w:r>
      <w:r w:rsidR="0016244C">
        <w:rPr>
          <w:rFonts w:cstheme="minorHAnsi"/>
          <w:bCs/>
          <w:iCs/>
          <w:sz w:val="22"/>
        </w:rPr>
        <w:t>plus que jamais une priorité</w:t>
      </w:r>
      <w:r w:rsidR="00186DB7" w:rsidRPr="00FA37C6">
        <w:rPr>
          <w:rFonts w:cstheme="minorHAnsi"/>
          <w:bCs/>
          <w:iCs/>
          <w:sz w:val="22"/>
        </w:rPr>
        <w:t>.</w:t>
      </w:r>
    </w:p>
    <w:p w14:paraId="282B1077" w14:textId="77777777" w:rsidR="00186DB7" w:rsidRDefault="00186DB7" w:rsidP="00D47085">
      <w:pPr>
        <w:jc w:val="both"/>
        <w:rPr>
          <w:rFonts w:cstheme="minorHAnsi"/>
          <w:iCs/>
          <w:sz w:val="22"/>
        </w:rPr>
      </w:pPr>
    </w:p>
    <w:p w14:paraId="1723691E" w14:textId="77777777" w:rsidR="00186DB7" w:rsidRDefault="00186DB7" w:rsidP="00D47085">
      <w:pPr>
        <w:jc w:val="both"/>
        <w:rPr>
          <w:rFonts w:cstheme="minorHAnsi"/>
          <w:iCs/>
          <w:sz w:val="22"/>
        </w:rPr>
      </w:pPr>
    </w:p>
    <w:p w14:paraId="44846D1A" w14:textId="77777777" w:rsidR="00F12D2E" w:rsidRPr="004B68A6" w:rsidRDefault="005F4602" w:rsidP="00D47085">
      <w:pPr>
        <w:jc w:val="both"/>
        <w:rPr>
          <w:rFonts w:cstheme="minorHAnsi"/>
          <w:iCs/>
          <w:sz w:val="22"/>
        </w:rPr>
      </w:pPr>
      <w:r>
        <w:rPr>
          <w:rFonts w:cstheme="minorHAnsi"/>
          <w:iCs/>
          <w:sz w:val="22"/>
        </w:rPr>
        <w:t>Retrouvez t</w:t>
      </w:r>
      <w:r w:rsidR="00D24827">
        <w:rPr>
          <w:rFonts w:cstheme="minorHAnsi"/>
          <w:iCs/>
          <w:sz w:val="22"/>
        </w:rPr>
        <w:t xml:space="preserve">ous les détails sur l’Index de l’égalité professionnelle sur le site du ministère du Travail : </w:t>
      </w:r>
      <w:hyperlink r:id="rId12" w:history="1">
        <w:r w:rsidR="00D24827" w:rsidRPr="00D24827">
          <w:rPr>
            <w:rStyle w:val="Lienhypertexte"/>
            <w:rFonts w:cstheme="minorHAnsi"/>
            <w:iCs/>
            <w:sz w:val="22"/>
          </w:rPr>
          <w:t>https://travail-emploi.gouv.fr/indexegapro</w:t>
        </w:r>
      </w:hyperlink>
    </w:p>
    <w:p w14:paraId="275A6A0B" w14:textId="77777777" w:rsidR="008435A4" w:rsidRDefault="008435A4" w:rsidP="00D47085">
      <w:pPr>
        <w:jc w:val="both"/>
        <w:rPr>
          <w:sz w:val="18"/>
          <w:szCs w:val="22"/>
        </w:rPr>
      </w:pPr>
    </w:p>
    <w:p w14:paraId="52A2FB8A" w14:textId="77777777" w:rsidR="008435A4" w:rsidRDefault="008435A4" w:rsidP="00D47085">
      <w:pPr>
        <w:jc w:val="both"/>
        <w:rPr>
          <w:sz w:val="18"/>
          <w:szCs w:val="22"/>
        </w:rPr>
      </w:pPr>
    </w:p>
    <w:p w14:paraId="5198CB47" w14:textId="77777777" w:rsidR="00FC43F9" w:rsidRDefault="00FC43F9" w:rsidP="00D47085">
      <w:pPr>
        <w:jc w:val="both"/>
        <w:rPr>
          <w:b/>
          <w:szCs w:val="22"/>
        </w:rPr>
      </w:pPr>
    </w:p>
    <w:p w14:paraId="6DBB3D14" w14:textId="77777777" w:rsidR="006547B9" w:rsidRDefault="006547B9" w:rsidP="00D47085">
      <w:pPr>
        <w:jc w:val="both"/>
        <w:rPr>
          <w:b/>
          <w:szCs w:val="22"/>
        </w:rPr>
      </w:pPr>
      <w:r w:rsidRPr="006547B9">
        <w:rPr>
          <w:b/>
          <w:szCs w:val="22"/>
        </w:rPr>
        <w:t xml:space="preserve">Contact presse </w:t>
      </w:r>
    </w:p>
    <w:p w14:paraId="432323BF" w14:textId="77777777" w:rsidR="00551A25" w:rsidRPr="00551A25" w:rsidRDefault="00551A25" w:rsidP="00D47085">
      <w:pPr>
        <w:jc w:val="both"/>
        <w:rPr>
          <w:szCs w:val="22"/>
        </w:rPr>
      </w:pPr>
      <w:r>
        <w:rPr>
          <w:szCs w:val="22"/>
        </w:rPr>
        <w:t>Direction générale du travail</w:t>
      </w:r>
    </w:p>
    <w:p w14:paraId="7EBBA06B" w14:textId="407382EB" w:rsidR="00551A25" w:rsidRDefault="00FE7798" w:rsidP="004B68A6">
      <w:pPr>
        <w:jc w:val="both"/>
        <w:rPr>
          <w:sz w:val="18"/>
          <w:szCs w:val="22"/>
        </w:rPr>
      </w:pPr>
      <w:hyperlink r:id="rId13" w:history="1">
        <w:r w:rsidR="00701977" w:rsidRPr="000E59DE">
          <w:rPr>
            <w:rStyle w:val="Lienhypertexte"/>
            <w:sz w:val="18"/>
            <w:szCs w:val="22"/>
          </w:rPr>
          <w:t>dgt.com@travail.gouv.fr</w:t>
        </w:r>
      </w:hyperlink>
    </w:p>
    <w:bookmarkEnd w:id="0"/>
    <w:p w14:paraId="7E20594B" w14:textId="77777777" w:rsidR="00701977" w:rsidRPr="004B68A6" w:rsidRDefault="00701977" w:rsidP="004B68A6">
      <w:pPr>
        <w:jc w:val="both"/>
        <w:rPr>
          <w:sz w:val="18"/>
          <w:szCs w:val="22"/>
        </w:rPr>
      </w:pPr>
    </w:p>
    <w:sectPr w:rsidR="00701977" w:rsidRPr="004B68A6" w:rsidSect="00F60753">
      <w:headerReference w:type="default" r:id="rId14"/>
      <w:footerReference w:type="default" r:id="rId15"/>
      <w:type w:val="continuous"/>
      <w:pgSz w:w="11910" w:h="16840"/>
      <w:pgMar w:top="963" w:right="964" w:bottom="965"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0602D" w14:textId="77777777" w:rsidR="00FE7798" w:rsidRDefault="00FE7798">
      <w:r>
        <w:separator/>
      </w:r>
    </w:p>
  </w:endnote>
  <w:endnote w:type="continuationSeparator" w:id="0">
    <w:p w14:paraId="33E55285" w14:textId="77777777" w:rsidR="00FE7798" w:rsidRDefault="00FE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18778179"/>
      <w:docPartObj>
        <w:docPartGallery w:val="Page Numbers (Bottom of Page)"/>
        <w:docPartUnique/>
      </w:docPartObj>
    </w:sdtPr>
    <w:sdtEndPr>
      <w:rPr>
        <w:rStyle w:val="Numrodepage"/>
      </w:rPr>
    </w:sdtEndPr>
    <w:sdtContent>
      <w:p w14:paraId="0B2349AB" w14:textId="77777777" w:rsidR="00681D72" w:rsidRDefault="00FC73CB" w:rsidP="00C27E6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3CDE0D6" w14:textId="77777777" w:rsidR="00681D72" w:rsidRDefault="00FE779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511FA" w14:textId="77777777" w:rsidR="00075639" w:rsidRDefault="00FC73CB">
    <w: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73"/>
      <w:gridCol w:w="4909"/>
    </w:tblGrid>
    <w:tr w:rsidR="00F40A5B" w:rsidRPr="0013667C" w14:paraId="09330041" w14:textId="77777777" w:rsidTr="0097322F">
      <w:trPr>
        <w:trHeight w:val="142"/>
      </w:trPr>
      <w:tc>
        <w:tcPr>
          <w:tcW w:w="5073" w:type="dxa"/>
          <w:vAlign w:val="bottom"/>
        </w:tcPr>
        <w:p w14:paraId="374F74F8" w14:textId="77777777" w:rsidR="00F40A5B" w:rsidRPr="00E17865" w:rsidRDefault="00FE7798" w:rsidP="00942B28">
          <w:pPr>
            <w:pStyle w:val="PieddePage0"/>
          </w:pPr>
        </w:p>
      </w:tc>
      <w:tc>
        <w:tcPr>
          <w:tcW w:w="4909" w:type="dxa"/>
        </w:tcPr>
        <w:p w14:paraId="7E471D11" w14:textId="77777777" w:rsidR="00F40A5B" w:rsidRPr="00965B19" w:rsidRDefault="00FE7798" w:rsidP="00F40A5B">
          <w:pPr>
            <w:tabs>
              <w:tab w:val="left" w:pos="5009"/>
            </w:tabs>
            <w:spacing w:line="170" w:lineRule="exact"/>
            <w:ind w:left="111"/>
            <w:jc w:val="center"/>
            <w:rPr>
              <w:sz w:val="14"/>
            </w:rPr>
          </w:pPr>
        </w:p>
      </w:tc>
    </w:tr>
  </w:tbl>
  <w:p w14:paraId="049D6075" w14:textId="77777777" w:rsidR="00965B19" w:rsidRPr="00045911" w:rsidRDefault="00FE7798" w:rsidP="00F40A5B">
    <w:pPr>
      <w:tabs>
        <w:tab w:val="left" w:pos="5009"/>
      </w:tabs>
      <w:spacing w:line="170" w:lineRule="exact"/>
      <w:ind w:right="59"/>
      <w:rPr>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31F8F" w14:textId="77777777" w:rsidR="000E64B8" w:rsidRPr="00965B19" w:rsidRDefault="00FE7798" w:rsidP="0079276E">
    <w:pPr>
      <w:tabs>
        <w:tab w:val="left" w:pos="5009"/>
      </w:tabs>
      <w:spacing w:line="170" w:lineRule="exact"/>
      <w:ind w:left="111"/>
      <w:rPr>
        <w:sz w:val="14"/>
      </w:rPr>
    </w:pPr>
  </w:p>
  <w:sdt>
    <w:sdtPr>
      <w:rPr>
        <w:rStyle w:val="Numrodepage"/>
        <w:sz w:val="14"/>
        <w:szCs w:val="14"/>
      </w:rPr>
      <w:id w:val="160352445"/>
      <w:docPartObj>
        <w:docPartGallery w:val="Page Numbers (Bottom of Page)"/>
        <w:docPartUnique/>
      </w:docPartObj>
    </w:sdtPr>
    <w:sdtEndPr>
      <w:rPr>
        <w:rStyle w:val="Numrodepage"/>
      </w:rPr>
    </w:sdtEndPr>
    <w:sdtContent>
      <w:p w14:paraId="2E1E8612" w14:textId="77777777" w:rsidR="00C27E6A" w:rsidRPr="00C27E6A" w:rsidRDefault="00FC73CB" w:rsidP="00874AA0">
        <w:pPr>
          <w:pStyle w:val="Pieddepage"/>
          <w:framePr w:wrap="none" w:vAnchor="text" w:hAnchor="margin" w:xAlign="center" w:y="290"/>
          <w:rPr>
            <w:rStyle w:val="Numrodepage"/>
            <w:sz w:val="14"/>
            <w:szCs w:val="14"/>
          </w:rPr>
        </w:pPr>
        <w:r w:rsidRPr="00C27E6A">
          <w:rPr>
            <w:rStyle w:val="Numrodepage"/>
            <w:sz w:val="14"/>
            <w:szCs w:val="14"/>
          </w:rPr>
          <w:fldChar w:fldCharType="begin"/>
        </w:r>
        <w:r w:rsidRPr="00C27E6A">
          <w:rPr>
            <w:rStyle w:val="Numrodepage"/>
            <w:sz w:val="14"/>
            <w:szCs w:val="14"/>
          </w:rPr>
          <w:instrText xml:space="preserve"> PAGE </w:instrText>
        </w:r>
        <w:r w:rsidRPr="00C27E6A">
          <w:rPr>
            <w:rStyle w:val="Numrodepage"/>
            <w:sz w:val="14"/>
            <w:szCs w:val="14"/>
          </w:rPr>
          <w:fldChar w:fldCharType="separate"/>
        </w:r>
        <w:r w:rsidR="00FC43F9">
          <w:rPr>
            <w:rStyle w:val="Numrodepage"/>
            <w:sz w:val="14"/>
            <w:szCs w:val="14"/>
          </w:rPr>
          <w:t>2</w:t>
        </w:r>
        <w:r w:rsidRPr="00C27E6A">
          <w:rPr>
            <w:rStyle w:val="Numrodepage"/>
            <w:sz w:val="14"/>
            <w:szCs w:val="14"/>
          </w:rPr>
          <w:fldChar w:fldCharType="end"/>
        </w:r>
      </w:p>
    </w:sdtContent>
  </w:sd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72"/>
    </w:tblGrid>
    <w:tr w:rsidR="0097322F" w:rsidRPr="0013667C" w14:paraId="25EA04C6" w14:textId="77777777" w:rsidTr="003926A1">
      <w:trPr>
        <w:trHeight w:val="629"/>
      </w:trPr>
      <w:tc>
        <w:tcPr>
          <w:tcW w:w="5072" w:type="dxa"/>
          <w:vAlign w:val="bottom"/>
        </w:tcPr>
        <w:p w14:paraId="640A2133" w14:textId="77777777" w:rsidR="0097322F" w:rsidRPr="00F60753" w:rsidRDefault="00FE7798" w:rsidP="00F60753">
          <w:pPr>
            <w:spacing w:line="161" w:lineRule="exact"/>
            <w:rPr>
              <w:color w:val="939598"/>
              <w:sz w:val="14"/>
            </w:rPr>
          </w:pPr>
        </w:p>
        <w:p w14:paraId="73A8985C" w14:textId="77777777" w:rsidR="0097322F" w:rsidRPr="0047637F" w:rsidRDefault="00FE7798" w:rsidP="00F60753">
          <w:pPr>
            <w:pStyle w:val="PieddePage0"/>
          </w:pPr>
        </w:p>
      </w:tc>
    </w:tr>
  </w:tbl>
  <w:p w14:paraId="1DC5E371" w14:textId="77777777" w:rsidR="000E64B8" w:rsidRPr="00965B19" w:rsidRDefault="00FE77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8D819" w14:textId="77777777" w:rsidR="00FE7798" w:rsidRDefault="00FE7798">
      <w:r>
        <w:separator/>
      </w:r>
    </w:p>
  </w:footnote>
  <w:footnote w:type="continuationSeparator" w:id="0">
    <w:p w14:paraId="6E0D8C73" w14:textId="77777777" w:rsidR="00FE7798" w:rsidRDefault="00FE7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E6334" w14:textId="77777777" w:rsidR="00237C6B" w:rsidRDefault="00FC73CB" w:rsidP="00237C6B">
    <w:pPr>
      <w:pStyle w:val="En-tte"/>
      <w:tabs>
        <w:tab w:val="clear" w:pos="4513"/>
      </w:tabs>
      <w:jc w:val="right"/>
      <w:rPr>
        <w:b/>
        <w:bCs/>
        <w:sz w:val="24"/>
        <w:szCs w:val="24"/>
      </w:rPr>
    </w:pPr>
    <w:r>
      <w:rPr>
        <w:b/>
        <w:bCs/>
        <w:sz w:val="24"/>
        <w:szCs w:val="24"/>
        <w:lang w:eastAsia="fr-FR"/>
      </w:rPr>
      <w:drawing>
        <wp:anchor distT="0" distB="0" distL="114300" distR="114300" simplePos="0" relativeHeight="251659264" behindDoc="0" locked="0" layoutInCell="1" allowOverlap="1" wp14:anchorId="58B6A806" wp14:editId="7258C791">
          <wp:simplePos x="0" y="0"/>
          <wp:positionH relativeFrom="column">
            <wp:posOffset>-143206</wp:posOffset>
          </wp:positionH>
          <wp:positionV relativeFrom="paragraph">
            <wp:posOffset>-44450</wp:posOffset>
          </wp:positionV>
          <wp:extent cx="1803400" cy="1501140"/>
          <wp:effectExtent l="0" t="0" r="635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_Travail_Emploi_et_Insertion_CMJN-15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3400" cy="1501140"/>
                  </a:xfrm>
                  <a:prstGeom prst="rect">
                    <a:avLst/>
                  </a:prstGeom>
                </pic:spPr>
              </pic:pic>
            </a:graphicData>
          </a:graphic>
          <wp14:sizeRelH relativeFrom="margin">
            <wp14:pctWidth>0</wp14:pctWidth>
          </wp14:sizeRelH>
          <wp14:sizeRelV relativeFrom="margin">
            <wp14:pctHeight>0</wp14:pctHeight>
          </wp14:sizeRelV>
        </wp:anchor>
      </w:drawing>
    </w:r>
    <w:r>
      <w:rPr>
        <w:b/>
        <w:bCs/>
        <w:sz w:val="24"/>
        <w:szCs w:val="24"/>
      </w:rPr>
      <w:tab/>
    </w:r>
  </w:p>
  <w:p w14:paraId="5F00998E" w14:textId="77777777" w:rsidR="00237C6B" w:rsidRDefault="00FE7798" w:rsidP="00237C6B">
    <w:pPr>
      <w:pStyle w:val="En-tte"/>
      <w:tabs>
        <w:tab w:val="clear" w:pos="4513"/>
      </w:tabs>
      <w:jc w:val="right"/>
      <w:rPr>
        <w:b/>
        <w:bCs/>
        <w:sz w:val="24"/>
        <w:szCs w:val="24"/>
      </w:rPr>
    </w:pPr>
  </w:p>
  <w:p w14:paraId="350FCA5B" w14:textId="77777777" w:rsidR="00992DBA" w:rsidRDefault="00FE7798" w:rsidP="00992DBA">
    <w:pPr>
      <w:pStyle w:val="En-tte"/>
      <w:tabs>
        <w:tab w:val="clear" w:pos="4513"/>
      </w:tabs>
      <w:jc w:val="right"/>
      <w:rPr>
        <w:b/>
        <w:bCs/>
        <w:sz w:val="24"/>
        <w:szCs w:val="24"/>
      </w:rPr>
    </w:pPr>
  </w:p>
  <w:p w14:paraId="39D2E2DF" w14:textId="77777777" w:rsidR="0079276E" w:rsidRDefault="00FE779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97F34" w14:textId="77777777" w:rsidR="00351D49" w:rsidRDefault="00FE779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A6A93"/>
    <w:multiLevelType w:val="hybridMultilevel"/>
    <w:tmpl w:val="C1F43F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920FBC"/>
    <w:multiLevelType w:val="hybridMultilevel"/>
    <w:tmpl w:val="9C32952A"/>
    <w:lvl w:ilvl="0" w:tplc="091605D8">
      <w:start w:val="1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EC32CB"/>
    <w:multiLevelType w:val="hybridMultilevel"/>
    <w:tmpl w:val="3CECAFAA"/>
    <w:lvl w:ilvl="0" w:tplc="AFC0E7D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A310E9"/>
    <w:multiLevelType w:val="hybridMultilevel"/>
    <w:tmpl w:val="DF2052F0"/>
    <w:lvl w:ilvl="0" w:tplc="19C60088">
      <w:start w:val="1"/>
      <w:numFmt w:val="bullet"/>
      <w:lvlText w:val=""/>
      <w:lvlJc w:val="left"/>
      <w:pPr>
        <w:ind w:left="720"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2B4DB4"/>
    <w:multiLevelType w:val="hybridMultilevel"/>
    <w:tmpl w:val="D80CFFF8"/>
    <w:lvl w:ilvl="0" w:tplc="65CEFBF6">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66D70FF4"/>
    <w:multiLevelType w:val="hybridMultilevel"/>
    <w:tmpl w:val="77821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E533C6B"/>
    <w:multiLevelType w:val="hybridMultilevel"/>
    <w:tmpl w:val="E7040738"/>
    <w:lvl w:ilvl="0" w:tplc="ADDEBDF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85"/>
    <w:rsid w:val="00004BED"/>
    <w:rsid w:val="0001262D"/>
    <w:rsid w:val="00023240"/>
    <w:rsid w:val="000C33F2"/>
    <w:rsid w:val="0016244C"/>
    <w:rsid w:val="00175BE0"/>
    <w:rsid w:val="00186DB7"/>
    <w:rsid w:val="00204D20"/>
    <w:rsid w:val="00212800"/>
    <w:rsid w:val="00216483"/>
    <w:rsid w:val="00230F77"/>
    <w:rsid w:val="002472B1"/>
    <w:rsid w:val="00282DC7"/>
    <w:rsid w:val="002C3E28"/>
    <w:rsid w:val="002C4321"/>
    <w:rsid w:val="002E0C0C"/>
    <w:rsid w:val="00300A0C"/>
    <w:rsid w:val="00314D30"/>
    <w:rsid w:val="003574B6"/>
    <w:rsid w:val="00383A67"/>
    <w:rsid w:val="00394FCF"/>
    <w:rsid w:val="003A770D"/>
    <w:rsid w:val="003C6AB1"/>
    <w:rsid w:val="004229F3"/>
    <w:rsid w:val="00422A55"/>
    <w:rsid w:val="00426F2C"/>
    <w:rsid w:val="00437CA7"/>
    <w:rsid w:val="00442F7A"/>
    <w:rsid w:val="00444735"/>
    <w:rsid w:val="00493770"/>
    <w:rsid w:val="0049481B"/>
    <w:rsid w:val="004B68A6"/>
    <w:rsid w:val="004D533B"/>
    <w:rsid w:val="004D58A2"/>
    <w:rsid w:val="00502F5E"/>
    <w:rsid w:val="00547273"/>
    <w:rsid w:val="00551A25"/>
    <w:rsid w:val="00575C0B"/>
    <w:rsid w:val="0057746F"/>
    <w:rsid w:val="00592930"/>
    <w:rsid w:val="005B255C"/>
    <w:rsid w:val="005B682D"/>
    <w:rsid w:val="005C5285"/>
    <w:rsid w:val="005E54ED"/>
    <w:rsid w:val="005F0E7A"/>
    <w:rsid w:val="005F4602"/>
    <w:rsid w:val="006079EF"/>
    <w:rsid w:val="00647382"/>
    <w:rsid w:val="006547B9"/>
    <w:rsid w:val="006947C8"/>
    <w:rsid w:val="006B5266"/>
    <w:rsid w:val="006B5A95"/>
    <w:rsid w:val="006C276B"/>
    <w:rsid w:val="006C7635"/>
    <w:rsid w:val="006E2EBC"/>
    <w:rsid w:val="006E668F"/>
    <w:rsid w:val="00701977"/>
    <w:rsid w:val="007412BE"/>
    <w:rsid w:val="00786435"/>
    <w:rsid w:val="007C028D"/>
    <w:rsid w:val="007D1708"/>
    <w:rsid w:val="00841A82"/>
    <w:rsid w:val="008435A4"/>
    <w:rsid w:val="00860457"/>
    <w:rsid w:val="008652F1"/>
    <w:rsid w:val="008A3FB5"/>
    <w:rsid w:val="008A6B94"/>
    <w:rsid w:val="008C5C8D"/>
    <w:rsid w:val="008D6DC8"/>
    <w:rsid w:val="0091622B"/>
    <w:rsid w:val="00920282"/>
    <w:rsid w:val="009314A8"/>
    <w:rsid w:val="00940B41"/>
    <w:rsid w:val="00941346"/>
    <w:rsid w:val="00A154A9"/>
    <w:rsid w:val="00A17A7D"/>
    <w:rsid w:val="00A330CF"/>
    <w:rsid w:val="00A51FE1"/>
    <w:rsid w:val="00A77EBC"/>
    <w:rsid w:val="00A87725"/>
    <w:rsid w:val="00A9226D"/>
    <w:rsid w:val="00B067D5"/>
    <w:rsid w:val="00B13108"/>
    <w:rsid w:val="00B2551C"/>
    <w:rsid w:val="00B50824"/>
    <w:rsid w:val="00B56506"/>
    <w:rsid w:val="00B62885"/>
    <w:rsid w:val="00CB2B1C"/>
    <w:rsid w:val="00D17D7F"/>
    <w:rsid w:val="00D24827"/>
    <w:rsid w:val="00D47085"/>
    <w:rsid w:val="00D75AF3"/>
    <w:rsid w:val="00DC7D8D"/>
    <w:rsid w:val="00DE2401"/>
    <w:rsid w:val="00DF522D"/>
    <w:rsid w:val="00E23FFB"/>
    <w:rsid w:val="00E43327"/>
    <w:rsid w:val="00E61ADB"/>
    <w:rsid w:val="00E71275"/>
    <w:rsid w:val="00EC038D"/>
    <w:rsid w:val="00EC10AF"/>
    <w:rsid w:val="00ED11A7"/>
    <w:rsid w:val="00EF19E5"/>
    <w:rsid w:val="00F12D2E"/>
    <w:rsid w:val="00F43C0D"/>
    <w:rsid w:val="00FA0242"/>
    <w:rsid w:val="00FA37C6"/>
    <w:rsid w:val="00FC2FB9"/>
    <w:rsid w:val="00FC43F9"/>
    <w:rsid w:val="00FC5341"/>
    <w:rsid w:val="00FC6D44"/>
    <w:rsid w:val="00FC73CB"/>
    <w:rsid w:val="00FE7798"/>
    <w:rsid w:val="00FF3A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CE74"/>
  <w15:docId w15:val="{35B82B7E-189A-4C32-A5CA-E7DFFF54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47085"/>
    <w:pPr>
      <w:widowControl w:val="0"/>
      <w:autoSpaceDE w:val="0"/>
      <w:autoSpaceDN w:val="0"/>
      <w:spacing w:after="0" w:line="240" w:lineRule="auto"/>
    </w:pPr>
    <w:rPr>
      <w:rFonts w:ascii="Arial" w:hAnsi="Arial" w:cs="Arial"/>
      <w:noProof/>
      <w:sz w:val="20"/>
      <w:szCs w:val="20"/>
    </w:rPr>
  </w:style>
  <w:style w:type="paragraph" w:styleId="Titre1">
    <w:name w:val="heading 1"/>
    <w:basedOn w:val="Normal"/>
    <w:next w:val="Corpsdetexte"/>
    <w:link w:val="Titre1Car"/>
    <w:uiPriority w:val="9"/>
    <w:qFormat/>
    <w:rsid w:val="00D47085"/>
    <w:pPr>
      <w:jc w:val="center"/>
      <w:outlineLvl w:val="0"/>
    </w:pPr>
    <w:rPr>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7085"/>
    <w:rPr>
      <w:rFonts w:ascii="Arial" w:hAnsi="Arial" w:cs="Arial"/>
      <w:b/>
      <w:noProof/>
      <w:sz w:val="24"/>
      <w:szCs w:val="24"/>
    </w:rPr>
  </w:style>
  <w:style w:type="paragraph" w:styleId="Corpsdetexte">
    <w:name w:val="Body Text"/>
    <w:basedOn w:val="Normal"/>
    <w:link w:val="CorpsdetexteCar"/>
    <w:uiPriority w:val="1"/>
    <w:qFormat/>
    <w:rsid w:val="00D47085"/>
  </w:style>
  <w:style w:type="character" w:customStyle="1" w:styleId="CorpsdetexteCar">
    <w:name w:val="Corps de texte Car"/>
    <w:basedOn w:val="Policepardfaut"/>
    <w:link w:val="Corpsdetexte"/>
    <w:uiPriority w:val="1"/>
    <w:rsid w:val="00D47085"/>
    <w:rPr>
      <w:rFonts w:ascii="Arial" w:hAnsi="Arial" w:cs="Arial"/>
      <w:noProof/>
      <w:sz w:val="20"/>
      <w:szCs w:val="20"/>
    </w:rPr>
  </w:style>
  <w:style w:type="paragraph" w:styleId="Paragraphedeliste">
    <w:name w:val="List Paragraph"/>
    <w:aliases w:val="Titre_SIT"/>
    <w:basedOn w:val="Normal"/>
    <w:link w:val="ParagraphedelisteCar"/>
    <w:uiPriority w:val="34"/>
    <w:qFormat/>
    <w:rsid w:val="00D47085"/>
    <w:pPr>
      <w:spacing w:before="2"/>
      <w:ind w:left="474" w:hanging="346"/>
    </w:pPr>
  </w:style>
  <w:style w:type="character" w:styleId="Lienhypertexte">
    <w:name w:val="Hyperlink"/>
    <w:basedOn w:val="Policepardfaut"/>
    <w:uiPriority w:val="99"/>
    <w:unhideWhenUsed/>
    <w:rsid w:val="00D47085"/>
    <w:rPr>
      <w:color w:val="0563C1" w:themeColor="hyperlink"/>
      <w:u w:val="single"/>
    </w:rPr>
  </w:style>
  <w:style w:type="paragraph" w:styleId="En-tte">
    <w:name w:val="header"/>
    <w:basedOn w:val="Normal"/>
    <w:link w:val="En-tteCar"/>
    <w:uiPriority w:val="99"/>
    <w:unhideWhenUsed/>
    <w:rsid w:val="00D47085"/>
    <w:pPr>
      <w:tabs>
        <w:tab w:val="center" w:pos="4513"/>
        <w:tab w:val="right" w:pos="9026"/>
      </w:tabs>
    </w:pPr>
  </w:style>
  <w:style w:type="character" w:customStyle="1" w:styleId="En-tteCar">
    <w:name w:val="En-tête Car"/>
    <w:basedOn w:val="Policepardfaut"/>
    <w:link w:val="En-tte"/>
    <w:uiPriority w:val="99"/>
    <w:rsid w:val="00D47085"/>
    <w:rPr>
      <w:rFonts w:ascii="Arial" w:hAnsi="Arial" w:cs="Arial"/>
      <w:noProof/>
      <w:sz w:val="20"/>
      <w:szCs w:val="20"/>
    </w:rPr>
  </w:style>
  <w:style w:type="paragraph" w:styleId="Pieddepage">
    <w:name w:val="footer"/>
    <w:basedOn w:val="Normal"/>
    <w:link w:val="PieddepageCar"/>
    <w:uiPriority w:val="99"/>
    <w:unhideWhenUsed/>
    <w:rsid w:val="00D47085"/>
    <w:pPr>
      <w:tabs>
        <w:tab w:val="center" w:pos="4513"/>
        <w:tab w:val="right" w:pos="9026"/>
      </w:tabs>
    </w:pPr>
  </w:style>
  <w:style w:type="character" w:customStyle="1" w:styleId="PieddepageCar">
    <w:name w:val="Pied de page Car"/>
    <w:basedOn w:val="Policepardfaut"/>
    <w:link w:val="Pieddepage"/>
    <w:uiPriority w:val="99"/>
    <w:rsid w:val="00D47085"/>
    <w:rPr>
      <w:rFonts w:ascii="Arial" w:hAnsi="Arial" w:cs="Arial"/>
      <w:noProof/>
      <w:sz w:val="20"/>
      <w:szCs w:val="20"/>
    </w:rPr>
  </w:style>
  <w:style w:type="table" w:styleId="Grilledutableau">
    <w:name w:val="Table Grid"/>
    <w:basedOn w:val="TableauNormal"/>
    <w:uiPriority w:val="39"/>
    <w:rsid w:val="00D47085"/>
    <w:pPr>
      <w:widowControl w:val="0"/>
      <w:autoSpaceDE w:val="0"/>
      <w:autoSpaceDN w:val="0"/>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2"/>
    <w:basedOn w:val="Normal"/>
    <w:next w:val="Corpsdetexte"/>
    <w:link w:val="Date2Car"/>
    <w:qFormat/>
    <w:rsid w:val="00D47085"/>
    <w:pPr>
      <w:spacing w:before="139"/>
      <w:jc w:val="right"/>
    </w:pPr>
    <w:rPr>
      <w:color w:val="231F20"/>
      <w:sz w:val="16"/>
      <w:szCs w:val="22"/>
    </w:rPr>
  </w:style>
  <w:style w:type="paragraph" w:customStyle="1" w:styleId="PieddePage0">
    <w:name w:val="Pied de Page"/>
    <w:basedOn w:val="Normal"/>
    <w:next w:val="Corpsdetexte"/>
    <w:link w:val="PieddePageCar0"/>
    <w:qFormat/>
    <w:rsid w:val="00D47085"/>
    <w:pPr>
      <w:spacing w:line="161" w:lineRule="exact"/>
      <w:ind w:left="187" w:hanging="187"/>
    </w:pPr>
    <w:rPr>
      <w:color w:val="939598"/>
      <w:sz w:val="14"/>
    </w:rPr>
  </w:style>
  <w:style w:type="character" w:customStyle="1" w:styleId="Date2Car">
    <w:name w:val="Date2 Car"/>
    <w:basedOn w:val="Policepardfaut"/>
    <w:link w:val="Date2"/>
    <w:rsid w:val="00D47085"/>
    <w:rPr>
      <w:rFonts w:ascii="Arial" w:hAnsi="Arial" w:cs="Arial"/>
      <w:noProof/>
      <w:color w:val="231F20"/>
      <w:sz w:val="16"/>
    </w:rPr>
  </w:style>
  <w:style w:type="character" w:customStyle="1" w:styleId="PieddePageCar0">
    <w:name w:val="Pied de Page Car"/>
    <w:basedOn w:val="Policepardfaut"/>
    <w:link w:val="PieddePage0"/>
    <w:rsid w:val="00D47085"/>
    <w:rPr>
      <w:rFonts w:ascii="Arial" w:hAnsi="Arial" w:cs="Arial"/>
      <w:noProof/>
      <w:color w:val="939598"/>
      <w:sz w:val="14"/>
      <w:szCs w:val="20"/>
    </w:rPr>
  </w:style>
  <w:style w:type="paragraph" w:customStyle="1" w:styleId="Date1">
    <w:name w:val="Date 1"/>
    <w:basedOn w:val="Corpsdetexte"/>
    <w:next w:val="Corpsdetexte"/>
    <w:link w:val="Date1Car"/>
    <w:qFormat/>
    <w:rsid w:val="00D47085"/>
    <w:rPr>
      <w:rFonts w:cstheme="minorHAnsi"/>
      <w:color w:val="231F20"/>
    </w:rPr>
  </w:style>
  <w:style w:type="character" w:customStyle="1" w:styleId="Date1Car">
    <w:name w:val="Date 1 Car"/>
    <w:basedOn w:val="CorpsdetexteCar"/>
    <w:link w:val="Date1"/>
    <w:rsid w:val="00D47085"/>
    <w:rPr>
      <w:rFonts w:ascii="Arial" w:hAnsi="Arial" w:cstheme="minorHAnsi"/>
      <w:noProof/>
      <w:color w:val="231F20"/>
      <w:sz w:val="20"/>
      <w:szCs w:val="20"/>
    </w:rPr>
  </w:style>
  <w:style w:type="character" w:styleId="Numrodepage">
    <w:name w:val="page number"/>
    <w:basedOn w:val="Policepardfaut"/>
    <w:uiPriority w:val="99"/>
    <w:semiHidden/>
    <w:unhideWhenUsed/>
    <w:rsid w:val="00D47085"/>
  </w:style>
  <w:style w:type="character" w:customStyle="1" w:styleId="ParagraphedelisteCar">
    <w:name w:val="Paragraphe de liste Car"/>
    <w:aliases w:val="Titre_SIT Car"/>
    <w:basedOn w:val="Policepardfaut"/>
    <w:link w:val="Paragraphedeliste"/>
    <w:uiPriority w:val="34"/>
    <w:rsid w:val="00D47085"/>
    <w:rPr>
      <w:rFonts w:ascii="Arial" w:hAnsi="Arial" w:cs="Arial"/>
      <w:noProof/>
      <w:sz w:val="20"/>
      <w:szCs w:val="20"/>
    </w:rPr>
  </w:style>
  <w:style w:type="paragraph" w:styleId="Textedebulles">
    <w:name w:val="Balloon Text"/>
    <w:basedOn w:val="Normal"/>
    <w:link w:val="TextedebullesCar"/>
    <w:uiPriority w:val="99"/>
    <w:semiHidden/>
    <w:unhideWhenUsed/>
    <w:rsid w:val="0001262D"/>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262D"/>
    <w:rPr>
      <w:rFonts w:ascii="Segoe UI" w:hAnsi="Segoe UI" w:cs="Segoe UI"/>
      <w:noProof/>
      <w:sz w:val="18"/>
      <w:szCs w:val="18"/>
    </w:rPr>
  </w:style>
  <w:style w:type="character" w:styleId="Marquedecommentaire">
    <w:name w:val="annotation reference"/>
    <w:basedOn w:val="Policepardfaut"/>
    <w:uiPriority w:val="99"/>
    <w:semiHidden/>
    <w:unhideWhenUsed/>
    <w:rsid w:val="008652F1"/>
    <w:rPr>
      <w:sz w:val="16"/>
      <w:szCs w:val="16"/>
    </w:rPr>
  </w:style>
  <w:style w:type="paragraph" w:styleId="Commentaire">
    <w:name w:val="annotation text"/>
    <w:basedOn w:val="Normal"/>
    <w:link w:val="CommentaireCar"/>
    <w:uiPriority w:val="99"/>
    <w:semiHidden/>
    <w:unhideWhenUsed/>
    <w:rsid w:val="008652F1"/>
  </w:style>
  <w:style w:type="character" w:customStyle="1" w:styleId="CommentaireCar">
    <w:name w:val="Commentaire Car"/>
    <w:basedOn w:val="Policepardfaut"/>
    <w:link w:val="Commentaire"/>
    <w:uiPriority w:val="99"/>
    <w:semiHidden/>
    <w:rsid w:val="008652F1"/>
    <w:rPr>
      <w:rFonts w:ascii="Arial" w:hAnsi="Arial" w:cs="Arial"/>
      <w:noProof/>
      <w:sz w:val="20"/>
      <w:szCs w:val="20"/>
    </w:rPr>
  </w:style>
  <w:style w:type="paragraph" w:styleId="Objetducommentaire">
    <w:name w:val="annotation subject"/>
    <w:basedOn w:val="Commentaire"/>
    <w:next w:val="Commentaire"/>
    <w:link w:val="ObjetducommentaireCar"/>
    <w:uiPriority w:val="99"/>
    <w:semiHidden/>
    <w:unhideWhenUsed/>
    <w:rsid w:val="008652F1"/>
    <w:rPr>
      <w:b/>
      <w:bCs/>
    </w:rPr>
  </w:style>
  <w:style w:type="character" w:customStyle="1" w:styleId="ObjetducommentaireCar">
    <w:name w:val="Objet du commentaire Car"/>
    <w:basedOn w:val="CommentaireCar"/>
    <w:link w:val="Objetducommentaire"/>
    <w:uiPriority w:val="99"/>
    <w:semiHidden/>
    <w:rsid w:val="008652F1"/>
    <w:rPr>
      <w:rFonts w:ascii="Arial" w:hAnsi="Arial" w:cs="Arial"/>
      <w:b/>
      <w:bCs/>
      <w:noProof/>
      <w:sz w:val="20"/>
      <w:szCs w:val="20"/>
    </w:rPr>
  </w:style>
  <w:style w:type="character" w:styleId="Lienhypertextesuivivisit">
    <w:name w:val="FollowedHyperlink"/>
    <w:basedOn w:val="Policepardfaut"/>
    <w:uiPriority w:val="99"/>
    <w:semiHidden/>
    <w:unhideWhenUsed/>
    <w:rsid w:val="005B68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003953">
      <w:bodyDiv w:val="1"/>
      <w:marLeft w:val="0"/>
      <w:marRight w:val="0"/>
      <w:marTop w:val="0"/>
      <w:marBottom w:val="0"/>
      <w:divBdr>
        <w:top w:val="none" w:sz="0" w:space="0" w:color="auto"/>
        <w:left w:val="none" w:sz="0" w:space="0" w:color="auto"/>
        <w:bottom w:val="none" w:sz="0" w:space="0" w:color="auto"/>
        <w:right w:val="none" w:sz="0" w:space="0" w:color="auto"/>
      </w:divBdr>
    </w:div>
    <w:div w:id="802963855">
      <w:bodyDiv w:val="1"/>
      <w:marLeft w:val="0"/>
      <w:marRight w:val="0"/>
      <w:marTop w:val="0"/>
      <w:marBottom w:val="0"/>
      <w:divBdr>
        <w:top w:val="none" w:sz="0" w:space="0" w:color="auto"/>
        <w:left w:val="none" w:sz="0" w:space="0" w:color="auto"/>
        <w:bottom w:val="none" w:sz="0" w:space="0" w:color="auto"/>
        <w:right w:val="none" w:sz="0" w:space="0" w:color="auto"/>
      </w:divBdr>
    </w:div>
    <w:div w:id="993725058">
      <w:bodyDiv w:val="1"/>
      <w:marLeft w:val="0"/>
      <w:marRight w:val="0"/>
      <w:marTop w:val="0"/>
      <w:marBottom w:val="0"/>
      <w:divBdr>
        <w:top w:val="none" w:sz="0" w:space="0" w:color="auto"/>
        <w:left w:val="none" w:sz="0" w:space="0" w:color="auto"/>
        <w:bottom w:val="none" w:sz="0" w:space="0" w:color="auto"/>
        <w:right w:val="none" w:sz="0" w:space="0" w:color="auto"/>
      </w:divBdr>
    </w:div>
    <w:div w:id="1105689958">
      <w:bodyDiv w:val="1"/>
      <w:marLeft w:val="0"/>
      <w:marRight w:val="0"/>
      <w:marTop w:val="0"/>
      <w:marBottom w:val="0"/>
      <w:divBdr>
        <w:top w:val="none" w:sz="0" w:space="0" w:color="auto"/>
        <w:left w:val="none" w:sz="0" w:space="0" w:color="auto"/>
        <w:bottom w:val="none" w:sz="0" w:space="0" w:color="auto"/>
        <w:right w:val="none" w:sz="0" w:space="0" w:color="auto"/>
      </w:divBdr>
    </w:div>
    <w:div w:id="192322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gt.com@travail.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vail-emploi.gouv.fr/indexegap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dex-egapro.travail.gouv.f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81D4B-8447-4BDE-973E-4D9C16F5F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2123</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HATTON, Elise</dc:creator>
  <cp:lastModifiedBy>PINATEL-IGOA, Florence (DICOM/BUREAU DE LA COMMUNICATION DIGITALE)</cp:lastModifiedBy>
  <cp:revision>2</cp:revision>
  <dcterms:created xsi:type="dcterms:W3CDTF">2021-02-22T17:04:00Z</dcterms:created>
  <dcterms:modified xsi:type="dcterms:W3CDTF">2021-02-22T17:04:00Z</dcterms:modified>
</cp:coreProperties>
</file>