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1EFD0" w14:textId="77777777" w:rsidR="00351D49" w:rsidRPr="006E14E0" w:rsidRDefault="00351D49" w:rsidP="006C5662">
      <w:pPr>
        <w:pStyle w:val="Corpsdetexte"/>
        <w:rPr>
          <w:rFonts w:asciiTheme="majorHAnsi" w:hAnsiTheme="majorHAnsi" w:cstheme="majorHAnsi"/>
        </w:rPr>
        <w:sectPr w:rsidR="00351D49" w:rsidRPr="006E14E0" w:rsidSect="00E14E36">
          <w:headerReference w:type="default" r:id="rId8"/>
          <w:footerReference w:type="even" r:id="rId9"/>
          <w:footerReference w:type="default" r:id="rId10"/>
          <w:headerReference w:type="first" r:id="rId11"/>
          <w:type w:val="continuous"/>
          <w:pgSz w:w="11910" w:h="16840"/>
          <w:pgMar w:top="964" w:right="964" w:bottom="964" w:left="964" w:header="720" w:footer="720" w:gutter="0"/>
          <w:cols w:space="720"/>
          <w:titlePg/>
          <w:docGrid w:linePitch="272"/>
        </w:sectPr>
      </w:pPr>
    </w:p>
    <w:p w14:paraId="2129E01F" w14:textId="77777777" w:rsidR="0025147D" w:rsidRPr="006E14E0" w:rsidRDefault="0025147D" w:rsidP="00464620">
      <w:pPr>
        <w:pStyle w:val="Date10"/>
        <w:jc w:val="center"/>
        <w:rPr>
          <w:rFonts w:asciiTheme="majorHAnsi" w:hAnsiTheme="majorHAnsi" w:cstheme="majorHAnsi"/>
          <w:b/>
          <w:color w:val="auto"/>
          <w:sz w:val="24"/>
        </w:rPr>
      </w:pPr>
    </w:p>
    <w:tbl>
      <w:tblPr>
        <w:tblW w:w="5000" w:type="pct"/>
        <w:tblCellSpacing w:w="0" w:type="dxa"/>
        <w:tblCellMar>
          <w:left w:w="0" w:type="dxa"/>
          <w:right w:w="0" w:type="dxa"/>
        </w:tblCellMar>
        <w:tblLook w:val="04A0" w:firstRow="1" w:lastRow="0" w:firstColumn="1" w:lastColumn="0" w:noHBand="0" w:noVBand="1"/>
      </w:tblPr>
      <w:tblGrid>
        <w:gridCol w:w="9982"/>
      </w:tblGrid>
      <w:tr w:rsidR="000C47FC" w14:paraId="4F0553D9" w14:textId="77777777" w:rsidTr="000C47FC">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48"/>
              <w:gridCol w:w="9685"/>
              <w:gridCol w:w="149"/>
            </w:tblGrid>
            <w:tr w:rsidR="000C47FC" w14:paraId="6828136C" w14:textId="77777777">
              <w:tc>
                <w:tcPr>
                  <w:tcW w:w="150" w:type="dxa"/>
                  <w:shd w:val="clear" w:color="auto" w:fill="FFFFFF"/>
                  <w:vAlign w:val="center"/>
                  <w:hideMark/>
                </w:tcPr>
                <w:p w14:paraId="5B647019" w14:textId="77777777" w:rsidR="000C47FC" w:rsidRDefault="000C47FC"/>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85"/>
                  </w:tblGrid>
                  <w:tr w:rsidR="000C47FC" w14:paraId="46AC6F6A"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85"/>
                        </w:tblGrid>
                        <w:tr w:rsidR="000C47FC" w14:paraId="17733CA5" w14:textId="77777777">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685"/>
                              </w:tblGrid>
                              <w:tr w:rsidR="000C47FC" w14:paraId="609BF7B0" w14:textId="77777777">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085"/>
                                    </w:tblGrid>
                                    <w:tr w:rsidR="000C47FC" w14:paraId="266600A0" w14:textId="77777777">
                                      <w:tc>
                                        <w:tcPr>
                                          <w:tcW w:w="0" w:type="auto"/>
                                          <w:vAlign w:val="center"/>
                                          <w:hideMark/>
                                        </w:tcPr>
                                        <w:p w14:paraId="372D5536" w14:textId="77777777" w:rsidR="000C47FC" w:rsidRDefault="000C47FC">
                                          <w:pPr>
                                            <w:pStyle w:val="NormalWeb"/>
                                            <w:spacing w:before="0" w:beforeAutospacing="0" w:after="0" w:afterAutospacing="0" w:line="390" w:lineRule="exact"/>
                                            <w:jc w:val="center"/>
                                            <w:rPr>
                                              <w:rFonts w:ascii="Arial" w:eastAsiaTheme="minorHAnsi" w:hAnsi="Arial" w:cs="Arial"/>
                                              <w:color w:val="393939"/>
                                              <w:sz w:val="26"/>
                                              <w:szCs w:val="26"/>
                                            </w:rPr>
                                          </w:pPr>
                                          <w:r>
                                            <w:rPr>
                                              <w:rStyle w:val="lev"/>
                                              <w:rFonts w:ascii="Arial" w:hAnsi="Arial" w:cs="Arial"/>
                                              <w:color w:val="000000"/>
                                              <w:sz w:val="26"/>
                                              <w:szCs w:val="26"/>
                                            </w:rPr>
                                            <w:t>Brigitte Klinkert</w:t>
                                          </w:r>
                                        </w:p>
                                        <w:p w14:paraId="612AC232" w14:textId="77777777" w:rsidR="000C47FC" w:rsidRDefault="000C47FC">
                                          <w:pPr>
                                            <w:pStyle w:val="NormalWeb"/>
                                            <w:spacing w:before="0" w:beforeAutospacing="0" w:after="0" w:afterAutospacing="0" w:line="390" w:lineRule="exact"/>
                                            <w:jc w:val="center"/>
                                            <w:rPr>
                                              <w:rFonts w:ascii="Arial" w:hAnsi="Arial" w:cs="Arial"/>
                                              <w:color w:val="393939"/>
                                              <w:sz w:val="26"/>
                                              <w:szCs w:val="26"/>
                                            </w:rPr>
                                          </w:pPr>
                                          <w:r>
                                            <w:rPr>
                                              <w:rFonts w:ascii="Arial" w:hAnsi="Arial" w:cs="Arial"/>
                                              <w:color w:val="000000"/>
                                              <w:sz w:val="26"/>
                                              <w:szCs w:val="26"/>
                                            </w:rPr>
                                            <w:t>Ministre déléguée auprès de la ministre</w:t>
                                          </w:r>
                                        </w:p>
                                        <w:p w14:paraId="4068E03D" w14:textId="77777777" w:rsidR="000C47FC" w:rsidRDefault="000C47FC">
                                          <w:pPr>
                                            <w:pStyle w:val="NormalWeb"/>
                                            <w:spacing w:before="0" w:beforeAutospacing="0" w:after="0" w:afterAutospacing="0" w:line="390" w:lineRule="exact"/>
                                            <w:jc w:val="center"/>
                                            <w:rPr>
                                              <w:rFonts w:ascii="Arial" w:hAnsi="Arial" w:cs="Arial"/>
                                              <w:color w:val="393939"/>
                                              <w:sz w:val="26"/>
                                              <w:szCs w:val="26"/>
                                            </w:rPr>
                                          </w:pPr>
                                          <w:r>
                                            <w:rPr>
                                              <w:rFonts w:ascii="Arial" w:hAnsi="Arial" w:cs="Arial"/>
                                              <w:color w:val="000000"/>
                                              <w:sz w:val="26"/>
                                              <w:szCs w:val="26"/>
                                            </w:rPr>
                                            <w:t>du Travail, de l’Emploi et de l’Insertion,</w:t>
                                          </w:r>
                                        </w:p>
                                        <w:p w14:paraId="126F6977" w14:textId="77777777" w:rsidR="000C47FC" w:rsidRDefault="000C47FC">
                                          <w:pPr>
                                            <w:pStyle w:val="NormalWeb"/>
                                            <w:spacing w:before="0" w:beforeAutospacing="0" w:after="0" w:afterAutospacing="0" w:line="390" w:lineRule="exact"/>
                                            <w:jc w:val="center"/>
                                            <w:rPr>
                                              <w:rFonts w:ascii="Arial" w:hAnsi="Arial" w:cs="Arial"/>
                                              <w:color w:val="393939"/>
                                              <w:sz w:val="26"/>
                                              <w:szCs w:val="26"/>
                                            </w:rPr>
                                          </w:pPr>
                                          <w:r>
                                            <w:rPr>
                                              <w:rFonts w:ascii="Arial" w:hAnsi="Arial" w:cs="Arial"/>
                                              <w:color w:val="000000"/>
                                              <w:sz w:val="26"/>
                                              <w:szCs w:val="26"/>
                                            </w:rPr>
                                            <w:t>chargée de l’Insertion</w:t>
                                          </w:r>
                                        </w:p>
                                        <w:p w14:paraId="572DC3E2" w14:textId="77777777" w:rsidR="000C47FC" w:rsidRDefault="000C47FC">
                                          <w:pPr>
                                            <w:pStyle w:val="NormalWeb"/>
                                            <w:spacing w:before="0" w:beforeAutospacing="0" w:after="0" w:afterAutospacing="0" w:line="390" w:lineRule="exact"/>
                                            <w:jc w:val="center"/>
                                            <w:rPr>
                                              <w:rFonts w:ascii="Arial" w:hAnsi="Arial" w:cs="Arial"/>
                                              <w:color w:val="393939"/>
                                              <w:sz w:val="26"/>
                                              <w:szCs w:val="26"/>
                                            </w:rPr>
                                          </w:pPr>
                                          <w:r>
                                            <w:rPr>
                                              <w:rFonts w:ascii="Arial" w:hAnsi="Arial" w:cs="Arial"/>
                                              <w:color w:val="393939"/>
                                              <w:sz w:val="26"/>
                                              <w:szCs w:val="26"/>
                                            </w:rPr>
                                            <w:t> </w:t>
                                          </w:r>
                                        </w:p>
                                        <w:p w14:paraId="11C0A426" w14:textId="77777777" w:rsidR="000C47FC" w:rsidRDefault="000C47FC">
                                          <w:pPr>
                                            <w:pStyle w:val="NormalWeb"/>
                                            <w:spacing w:before="0" w:beforeAutospacing="0" w:after="0" w:afterAutospacing="0" w:line="390" w:lineRule="exact"/>
                                            <w:jc w:val="center"/>
                                            <w:rPr>
                                              <w:rFonts w:ascii="Arial" w:hAnsi="Arial" w:cs="Arial"/>
                                              <w:color w:val="393939"/>
                                              <w:sz w:val="26"/>
                                              <w:szCs w:val="26"/>
                                            </w:rPr>
                                          </w:pPr>
                                          <w:r>
                                            <w:rPr>
                                              <w:rStyle w:val="lev"/>
                                              <w:rFonts w:ascii="Arial" w:hAnsi="Arial" w:cs="Arial"/>
                                              <w:color w:val="000000"/>
                                            </w:rPr>
                                            <w:t>COMMUNIQUÉ DE PRESSE</w:t>
                                          </w:r>
                                        </w:p>
                                      </w:tc>
                                    </w:tr>
                                  </w:tbl>
                                  <w:p w14:paraId="3232C428" w14:textId="77777777" w:rsidR="000C47FC" w:rsidRDefault="000C47FC">
                                    <w:pPr>
                                      <w:rPr>
                                        <w:rFonts w:ascii="Times New Roman" w:eastAsia="Times New Roman" w:hAnsi="Times New Roman" w:cs="Times New Roman"/>
                                      </w:rPr>
                                    </w:pPr>
                                  </w:p>
                                </w:tc>
                              </w:tr>
                            </w:tbl>
                            <w:p w14:paraId="5A7A0DE0" w14:textId="77777777" w:rsidR="000C47FC" w:rsidRDefault="000C47FC">
                              <w:pPr>
                                <w:rPr>
                                  <w:rFonts w:eastAsia="Times New Roman"/>
                                </w:rPr>
                              </w:pPr>
                            </w:p>
                          </w:tc>
                        </w:tr>
                      </w:tbl>
                      <w:p w14:paraId="3AEA397E" w14:textId="77777777" w:rsidR="000C47FC" w:rsidRDefault="000C47FC">
                        <w:pPr>
                          <w:jc w:val="center"/>
                          <w:rPr>
                            <w:rFonts w:eastAsia="Times New Roman"/>
                          </w:rPr>
                        </w:pPr>
                      </w:p>
                    </w:tc>
                  </w:tr>
                </w:tbl>
                <w:p w14:paraId="603B0AC6" w14:textId="77777777" w:rsidR="000C47FC" w:rsidRDefault="000C47FC">
                  <w:pPr>
                    <w:jc w:val="center"/>
                    <w:rPr>
                      <w:rFonts w:eastAsia="Times New Roman"/>
                    </w:rPr>
                  </w:pPr>
                </w:p>
              </w:tc>
              <w:tc>
                <w:tcPr>
                  <w:tcW w:w="150" w:type="dxa"/>
                  <w:shd w:val="clear" w:color="auto" w:fill="FFFFFF"/>
                  <w:vAlign w:val="center"/>
                  <w:hideMark/>
                </w:tcPr>
                <w:p w14:paraId="541942E4" w14:textId="77777777" w:rsidR="000C47FC" w:rsidRDefault="000C47FC">
                  <w:pPr>
                    <w:rPr>
                      <w:rFonts w:eastAsia="Times New Roman"/>
                    </w:rPr>
                  </w:pPr>
                </w:p>
              </w:tc>
            </w:tr>
          </w:tbl>
          <w:p w14:paraId="647DF3F8" w14:textId="77777777" w:rsidR="000C47FC" w:rsidRDefault="000C47FC">
            <w:pPr>
              <w:rPr>
                <w:rFonts w:eastAsia="Times New Roman"/>
              </w:rPr>
            </w:pPr>
          </w:p>
        </w:tc>
      </w:tr>
      <w:tr w:rsidR="000C47FC" w14:paraId="196179C9" w14:textId="77777777" w:rsidTr="000C47FC">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49"/>
              <w:gridCol w:w="9684"/>
              <w:gridCol w:w="149"/>
            </w:tblGrid>
            <w:tr w:rsidR="000C47FC" w14:paraId="6ACA87FC" w14:textId="77777777">
              <w:tc>
                <w:tcPr>
                  <w:tcW w:w="150" w:type="dxa"/>
                  <w:shd w:val="clear" w:color="auto" w:fill="FFFFFF"/>
                  <w:vAlign w:val="center"/>
                  <w:hideMark/>
                </w:tcPr>
                <w:p w14:paraId="1A6E951C" w14:textId="77777777" w:rsidR="000C47FC" w:rsidRDefault="000C47FC">
                  <w:pPr>
                    <w:rPr>
                      <w:rFonts w:eastAsia="Times New Roman"/>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84"/>
                  </w:tblGrid>
                  <w:tr w:rsidR="000C47FC" w14:paraId="2A670E33"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84"/>
                        </w:tblGrid>
                        <w:tr w:rsidR="000C47FC" w14:paraId="1DBAEE29" w14:textId="77777777">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684"/>
                              </w:tblGrid>
                              <w:tr w:rsidR="000C47FC" w14:paraId="2D44F223" w14:textId="77777777">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084"/>
                                    </w:tblGrid>
                                    <w:tr w:rsidR="000C47FC" w14:paraId="0348B267" w14:textId="77777777">
                                      <w:tc>
                                        <w:tcPr>
                                          <w:tcW w:w="0" w:type="auto"/>
                                          <w:vAlign w:val="center"/>
                                          <w:hideMark/>
                                        </w:tcPr>
                                        <w:p w14:paraId="1F5B0E84" w14:textId="77777777" w:rsidR="000C47FC" w:rsidRDefault="000C47FC">
                                          <w:pPr>
                                            <w:pStyle w:val="NormalWeb"/>
                                            <w:spacing w:before="0" w:beforeAutospacing="0" w:after="0" w:afterAutospacing="0" w:line="390" w:lineRule="exact"/>
                                            <w:jc w:val="right"/>
                                            <w:rPr>
                                              <w:rFonts w:ascii="Arial" w:eastAsiaTheme="minorHAnsi" w:hAnsi="Arial" w:cs="Arial"/>
                                              <w:color w:val="393939"/>
                                              <w:sz w:val="26"/>
                                              <w:szCs w:val="26"/>
                                            </w:rPr>
                                          </w:pPr>
                                          <w:r>
                                            <w:rPr>
                                              <w:rFonts w:ascii="Arial" w:hAnsi="Arial" w:cs="Arial"/>
                                              <w:color w:val="000000"/>
                                              <w:sz w:val="21"/>
                                              <w:szCs w:val="21"/>
                                            </w:rPr>
                                            <w:t>Paris, le 17 mars 2021</w:t>
                                          </w:r>
                                        </w:p>
                                      </w:tc>
                                    </w:tr>
                                  </w:tbl>
                                  <w:p w14:paraId="16F0C1BB" w14:textId="77777777" w:rsidR="000C47FC" w:rsidRDefault="000C47FC">
                                    <w:pPr>
                                      <w:rPr>
                                        <w:rFonts w:ascii="Times New Roman" w:eastAsia="Times New Roman" w:hAnsi="Times New Roman" w:cs="Times New Roman"/>
                                      </w:rPr>
                                    </w:pPr>
                                  </w:p>
                                </w:tc>
                              </w:tr>
                            </w:tbl>
                            <w:p w14:paraId="4909F2F8" w14:textId="77777777" w:rsidR="000C47FC" w:rsidRDefault="000C47FC">
                              <w:pPr>
                                <w:rPr>
                                  <w:rFonts w:eastAsia="Times New Roman"/>
                                </w:rPr>
                              </w:pPr>
                            </w:p>
                          </w:tc>
                        </w:tr>
                      </w:tbl>
                      <w:p w14:paraId="274F5B1C" w14:textId="77777777" w:rsidR="000C47FC" w:rsidRDefault="000C47FC">
                        <w:pPr>
                          <w:jc w:val="center"/>
                          <w:rPr>
                            <w:rFonts w:eastAsia="Times New Roman"/>
                          </w:rPr>
                        </w:pPr>
                      </w:p>
                    </w:tc>
                  </w:tr>
                </w:tbl>
                <w:p w14:paraId="4E9889E0" w14:textId="77777777" w:rsidR="000C47FC" w:rsidRDefault="000C47FC">
                  <w:pPr>
                    <w:jc w:val="center"/>
                    <w:rPr>
                      <w:rFonts w:eastAsia="Times New Roman"/>
                    </w:rPr>
                  </w:pPr>
                </w:p>
              </w:tc>
              <w:tc>
                <w:tcPr>
                  <w:tcW w:w="150" w:type="dxa"/>
                  <w:shd w:val="clear" w:color="auto" w:fill="FFFFFF"/>
                  <w:vAlign w:val="center"/>
                  <w:hideMark/>
                </w:tcPr>
                <w:p w14:paraId="4CEE3DED" w14:textId="77777777" w:rsidR="000C47FC" w:rsidRDefault="000C47FC">
                  <w:pPr>
                    <w:rPr>
                      <w:rFonts w:eastAsia="Times New Roman"/>
                    </w:rPr>
                  </w:pPr>
                </w:p>
              </w:tc>
            </w:tr>
          </w:tbl>
          <w:p w14:paraId="76CFB50C" w14:textId="77777777" w:rsidR="000C47FC" w:rsidRDefault="000C47FC">
            <w:pPr>
              <w:rPr>
                <w:rFonts w:eastAsia="Times New Roman"/>
              </w:rPr>
            </w:pPr>
          </w:p>
        </w:tc>
      </w:tr>
    </w:tbl>
    <w:p w14:paraId="4B89C133" w14:textId="77777777" w:rsidR="000C47FC" w:rsidRDefault="000C47FC" w:rsidP="000C47FC">
      <w:pPr>
        <w:rPr>
          <w:rFonts w:eastAsia="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982"/>
      </w:tblGrid>
      <w:tr w:rsidR="000C47FC" w14:paraId="2A3F5455" w14:textId="77777777" w:rsidTr="000C47FC">
        <w:trPr>
          <w:tblCellSpacing w:w="0" w:type="dxa"/>
          <w:hidden/>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49"/>
              <w:gridCol w:w="9684"/>
              <w:gridCol w:w="149"/>
            </w:tblGrid>
            <w:tr w:rsidR="000C47FC" w14:paraId="423A149D" w14:textId="77777777">
              <w:trPr>
                <w:hidden/>
              </w:trPr>
              <w:tc>
                <w:tcPr>
                  <w:tcW w:w="150" w:type="dxa"/>
                  <w:shd w:val="clear" w:color="auto" w:fill="FFFFFF"/>
                  <w:vAlign w:val="center"/>
                  <w:hideMark/>
                </w:tcPr>
                <w:p w14:paraId="7EC5AFAB" w14:textId="77777777" w:rsidR="000C47FC" w:rsidRDefault="000C47FC">
                  <w:pPr>
                    <w:rPr>
                      <w:rFonts w:eastAsia="Times New Roman"/>
                      <w:vanish/>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84"/>
                  </w:tblGrid>
                  <w:tr w:rsidR="000C47FC" w14:paraId="01D5B9FD"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84"/>
                        </w:tblGrid>
                        <w:tr w:rsidR="000C47FC" w14:paraId="2EB50E28" w14:textId="77777777">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684"/>
                              </w:tblGrid>
                              <w:tr w:rsidR="000C47FC" w14:paraId="798EC316" w14:textId="77777777">
                                <w:tc>
                                  <w:tcPr>
                                    <w:tcW w:w="0" w:type="auto"/>
                                    <w:tcMar>
                                      <w:top w:w="165" w:type="dxa"/>
                                      <w:left w:w="165" w:type="dxa"/>
                                      <w:bottom w:w="165" w:type="dxa"/>
                                      <w:right w:w="165"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354"/>
                                    </w:tblGrid>
                                    <w:tr w:rsidR="000C47FC" w14:paraId="25B07B42" w14:textId="77777777">
                                      <w:tc>
                                        <w:tcPr>
                                          <w:tcW w:w="0" w:type="auto"/>
                                          <w:vAlign w:val="center"/>
                                          <w:hideMark/>
                                        </w:tcPr>
                                        <w:p w14:paraId="00F133C7" w14:textId="77777777" w:rsidR="000C47FC" w:rsidRDefault="000C47FC">
                                          <w:pPr>
                                            <w:pStyle w:val="NormalWeb"/>
                                            <w:spacing w:before="0" w:beforeAutospacing="0" w:after="0" w:afterAutospacing="0" w:line="390" w:lineRule="exact"/>
                                            <w:rPr>
                                              <w:rFonts w:ascii="Arial" w:eastAsiaTheme="minorHAnsi" w:hAnsi="Arial" w:cs="Arial"/>
                                              <w:color w:val="393939"/>
                                              <w:sz w:val="26"/>
                                              <w:szCs w:val="26"/>
                                            </w:rPr>
                                          </w:pPr>
                                          <w:r>
                                            <w:rPr>
                                              <w:rStyle w:val="lev"/>
                                              <w:rFonts w:ascii="Arial" w:hAnsi="Arial" w:cs="Arial"/>
                                              <w:color w:val="000000"/>
                                            </w:rPr>
                                            <w:t>INSERTION PAR LA MOBILITÉ : BRIGITTE KLINKERT ANNONCE UN SOUTIEN RENFORCÉ AU MICRO-CRÉDIT POUR LES PERSONNES LES PLUS ÉLOIGNÉES DE L’EMPLOI</w:t>
                                          </w:r>
                                        </w:p>
                                        <w:p w14:paraId="405C0820" w14:textId="77777777" w:rsidR="000C47FC" w:rsidRDefault="000C47FC">
                                          <w:pPr>
                                            <w:pStyle w:val="NormalWeb"/>
                                            <w:spacing w:before="0" w:beforeAutospacing="0" w:after="0" w:afterAutospacing="0" w:line="390" w:lineRule="exact"/>
                                            <w:rPr>
                                              <w:rFonts w:ascii="Arial" w:hAnsi="Arial" w:cs="Arial"/>
                                              <w:color w:val="393939"/>
                                              <w:sz w:val="26"/>
                                              <w:szCs w:val="26"/>
                                            </w:rPr>
                                          </w:pPr>
                                          <w:r>
                                            <w:rPr>
                                              <w:rFonts w:ascii="Arial" w:hAnsi="Arial" w:cs="Arial"/>
                                              <w:color w:val="393939"/>
                                              <w:sz w:val="26"/>
                                              <w:szCs w:val="26"/>
                                            </w:rPr>
                                            <w:t> </w:t>
                                          </w:r>
                                        </w:p>
                                      </w:tc>
                                    </w:tr>
                                  </w:tbl>
                                  <w:p w14:paraId="7E756ACA" w14:textId="77777777" w:rsidR="000C47FC" w:rsidRDefault="000C47FC">
                                    <w:pPr>
                                      <w:rPr>
                                        <w:rFonts w:ascii="Times New Roman" w:eastAsia="Times New Roman" w:hAnsi="Times New Roman" w:cs="Times New Roman"/>
                                      </w:rPr>
                                    </w:pPr>
                                  </w:p>
                                </w:tc>
                              </w:tr>
                            </w:tbl>
                            <w:p w14:paraId="74DF1EFF" w14:textId="77777777" w:rsidR="000C47FC" w:rsidRDefault="000C47FC">
                              <w:pPr>
                                <w:rPr>
                                  <w:rFonts w:eastAsia="Times New Roman"/>
                                </w:rPr>
                              </w:pPr>
                            </w:p>
                          </w:tc>
                        </w:tr>
                      </w:tbl>
                      <w:p w14:paraId="72ECCF33" w14:textId="77777777" w:rsidR="000C47FC" w:rsidRDefault="000C47FC">
                        <w:pPr>
                          <w:jc w:val="center"/>
                          <w:rPr>
                            <w:rFonts w:eastAsia="Times New Roman"/>
                          </w:rPr>
                        </w:pPr>
                      </w:p>
                    </w:tc>
                  </w:tr>
                </w:tbl>
                <w:p w14:paraId="7F4CC618" w14:textId="77777777" w:rsidR="000C47FC" w:rsidRDefault="000C47FC">
                  <w:pPr>
                    <w:jc w:val="center"/>
                    <w:rPr>
                      <w:rFonts w:eastAsia="Times New Roman"/>
                    </w:rPr>
                  </w:pPr>
                </w:p>
              </w:tc>
              <w:tc>
                <w:tcPr>
                  <w:tcW w:w="150" w:type="dxa"/>
                  <w:shd w:val="clear" w:color="auto" w:fill="FFFFFF"/>
                  <w:vAlign w:val="center"/>
                  <w:hideMark/>
                </w:tcPr>
                <w:p w14:paraId="3F5886D9" w14:textId="77777777" w:rsidR="000C47FC" w:rsidRDefault="000C47FC">
                  <w:pPr>
                    <w:rPr>
                      <w:rFonts w:eastAsia="Times New Roman"/>
                    </w:rPr>
                  </w:pPr>
                </w:p>
              </w:tc>
            </w:tr>
          </w:tbl>
          <w:p w14:paraId="4935A673" w14:textId="77777777" w:rsidR="000C47FC" w:rsidRDefault="000C47FC">
            <w:pPr>
              <w:rPr>
                <w:rFonts w:eastAsia="Times New Roman"/>
              </w:rPr>
            </w:pPr>
          </w:p>
        </w:tc>
      </w:tr>
      <w:tr w:rsidR="000C47FC" w14:paraId="3AEA9678" w14:textId="77777777" w:rsidTr="000C47FC">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48"/>
              <w:gridCol w:w="9685"/>
              <w:gridCol w:w="149"/>
            </w:tblGrid>
            <w:tr w:rsidR="000C47FC" w14:paraId="104EA035" w14:textId="77777777">
              <w:tc>
                <w:tcPr>
                  <w:tcW w:w="150" w:type="dxa"/>
                  <w:shd w:val="clear" w:color="auto" w:fill="FFFFFF"/>
                  <w:vAlign w:val="center"/>
                  <w:hideMark/>
                </w:tcPr>
                <w:p w14:paraId="5A931074" w14:textId="77777777" w:rsidR="000C47FC" w:rsidRDefault="000C47FC">
                  <w:pPr>
                    <w:rPr>
                      <w:rFonts w:eastAsia="Times New Roman"/>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85"/>
                  </w:tblGrid>
                  <w:tr w:rsidR="000C47FC" w14:paraId="6E9DB800"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85"/>
                        </w:tblGrid>
                        <w:tr w:rsidR="000C47FC" w14:paraId="016B137C" w14:textId="77777777">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685"/>
                              </w:tblGrid>
                              <w:tr w:rsidR="000C47FC" w14:paraId="37173364" w14:textId="77777777">
                                <w:tc>
                                  <w:tcPr>
                                    <w:tcW w:w="0" w:type="auto"/>
                                    <w:tcMar>
                                      <w:top w:w="165" w:type="dxa"/>
                                      <w:left w:w="165" w:type="dxa"/>
                                      <w:bottom w:w="165" w:type="dxa"/>
                                      <w:right w:w="165"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355"/>
                                    </w:tblGrid>
                                    <w:tr w:rsidR="000C47FC" w14:paraId="55DC9C09" w14:textId="77777777">
                                      <w:tc>
                                        <w:tcPr>
                                          <w:tcW w:w="0" w:type="auto"/>
                                          <w:vAlign w:val="center"/>
                                          <w:hideMark/>
                                        </w:tcPr>
                                        <w:p w14:paraId="56EB083B" w14:textId="77777777" w:rsidR="000C47FC" w:rsidRDefault="000C47FC">
                                          <w:pPr>
                                            <w:pStyle w:val="NormalWeb"/>
                                            <w:spacing w:before="0" w:beforeAutospacing="0" w:after="260" w:afterAutospacing="0" w:line="360" w:lineRule="exact"/>
                                            <w:jc w:val="both"/>
                                            <w:rPr>
                                              <w:rFonts w:ascii="Arial" w:eastAsiaTheme="minorHAnsi" w:hAnsi="Arial" w:cs="Arial"/>
                                              <w:color w:val="393939"/>
                                              <w:sz w:val="26"/>
                                              <w:szCs w:val="26"/>
                                            </w:rPr>
                                          </w:pPr>
                                          <w:r>
                                            <w:rPr>
                                              <w:rFonts w:ascii="Arial" w:hAnsi="Arial" w:cs="Arial"/>
                                              <w:color w:val="000000"/>
                                              <w:sz w:val="26"/>
                                              <w:szCs w:val="26"/>
                                            </w:rPr>
                                            <w:t>Pour les personnes les plus éloignées de l’emploi, les freins liés à la mobilité sont récurrents. Près de 7 millions de personnes, soit environ 20% de la population en âge de travailler, rencontrent des difficultés à se déplacer en France. </w:t>
                                          </w:r>
                                          <w:r>
                                            <w:rPr>
                                              <w:rStyle w:val="lev"/>
                                              <w:rFonts w:ascii="Arial" w:hAnsi="Arial" w:cs="Arial"/>
                                              <w:color w:val="000000"/>
                                              <w:sz w:val="26"/>
                                              <w:szCs w:val="26"/>
                                            </w:rPr>
                                            <w:t>28% des personnes en insertion professionnelle abandonnent leur emploi ou leur formation pour des raisons de mobilité </w:t>
                                          </w:r>
                                          <w:r>
                                            <w:rPr>
                                              <w:rFonts w:ascii="Arial" w:hAnsi="Arial" w:cs="Arial"/>
                                              <w:color w:val="000000"/>
                                              <w:sz w:val="26"/>
                                              <w:szCs w:val="26"/>
                                            </w:rPr>
                                            <w:t>: elles n’ont pas accès aux moyens de transport, n’ont pas de véhicules ou n’ont pas le permis de conduire.</w:t>
                                          </w:r>
                                        </w:p>
                                        <w:p w14:paraId="11A7B453" w14:textId="77777777" w:rsidR="000C47FC" w:rsidRDefault="000C47FC">
                                          <w:pPr>
                                            <w:pStyle w:val="NormalWeb"/>
                                            <w:spacing w:before="0" w:beforeAutospacing="0" w:after="0" w:afterAutospacing="0" w:line="360" w:lineRule="exact"/>
                                            <w:jc w:val="both"/>
                                            <w:rPr>
                                              <w:rFonts w:ascii="Arial" w:hAnsi="Arial" w:cs="Arial"/>
                                              <w:color w:val="393939"/>
                                              <w:sz w:val="26"/>
                                              <w:szCs w:val="26"/>
                                            </w:rPr>
                                          </w:pPr>
                                          <w:r>
                                            <w:rPr>
                                              <w:rFonts w:ascii="Arial" w:hAnsi="Arial" w:cs="Arial"/>
                                              <w:color w:val="000000"/>
                                              <w:sz w:val="26"/>
                                              <w:szCs w:val="26"/>
                                            </w:rPr>
                                            <w:t xml:space="preserve">Afin de faciliter la mobilité de tous les Français, Brigitte Klinkert, Ministre déléguée à l’insertion auprès de la ministre du travail, de l’emploi et de l’insertion a annoncé mardi 16 mars au cours d’une réunion de l’Observatoire de l’inclusion bancaire (OIB) </w:t>
                                          </w:r>
                                          <w:r>
                                            <w:rPr>
                                              <w:rStyle w:val="lev"/>
                                              <w:rFonts w:ascii="Arial" w:hAnsi="Arial" w:cs="Arial"/>
                                              <w:color w:val="000000"/>
                                              <w:sz w:val="26"/>
                                              <w:szCs w:val="26"/>
                                            </w:rPr>
                                            <w:t>l’augmentation de 50% de la garantie de l’Etat au micro-crédit personnel pour financer des solutions de mobilité dans le cadre d’un projet d’insertion dans l’emploi.</w:t>
                                          </w:r>
                                        </w:p>
                                        <w:p w14:paraId="69BD956A" w14:textId="77777777" w:rsidR="000C47FC" w:rsidRDefault="000C47FC">
                                          <w:pPr>
                                            <w:pStyle w:val="NormalWeb"/>
                                            <w:spacing w:before="0" w:beforeAutospacing="0" w:after="0" w:afterAutospacing="0" w:line="360" w:lineRule="exact"/>
                                            <w:rPr>
                                              <w:rFonts w:ascii="Arial" w:hAnsi="Arial" w:cs="Arial"/>
                                              <w:color w:val="393939"/>
                                              <w:sz w:val="26"/>
                                              <w:szCs w:val="26"/>
                                            </w:rPr>
                                          </w:pPr>
                                          <w:r>
                                            <w:rPr>
                                              <w:rFonts w:ascii="Arial" w:hAnsi="Arial" w:cs="Arial"/>
                                              <w:color w:val="393939"/>
                                              <w:sz w:val="26"/>
                                              <w:szCs w:val="26"/>
                                            </w:rPr>
                                            <w:t> </w:t>
                                          </w:r>
                                        </w:p>
                                        <w:p w14:paraId="2919E55E" w14:textId="77777777" w:rsidR="000C47FC" w:rsidRDefault="000C47FC">
                                          <w:pPr>
                                            <w:pStyle w:val="NormalWeb"/>
                                            <w:spacing w:before="0" w:beforeAutospacing="0" w:after="0" w:afterAutospacing="0" w:line="360" w:lineRule="exact"/>
                                            <w:jc w:val="both"/>
                                            <w:rPr>
                                              <w:rFonts w:ascii="Arial" w:hAnsi="Arial" w:cs="Arial"/>
                                              <w:color w:val="393939"/>
                                              <w:sz w:val="26"/>
                                              <w:szCs w:val="26"/>
                                            </w:rPr>
                                          </w:pPr>
                                          <w:r>
                                            <w:rPr>
                                              <w:rFonts w:ascii="Arial" w:hAnsi="Arial" w:cs="Arial"/>
                                              <w:color w:val="000000"/>
                                              <w:sz w:val="26"/>
                                              <w:szCs w:val="26"/>
                                            </w:rPr>
                                            <w:t xml:space="preserve">Ce soutien supplémentaire de l’État vise à </w:t>
                                          </w:r>
                                          <w:r>
                                            <w:rPr>
                                              <w:rStyle w:val="lev"/>
                                              <w:rFonts w:ascii="Arial" w:hAnsi="Arial" w:cs="Arial"/>
                                              <w:color w:val="000000"/>
                                              <w:sz w:val="26"/>
                                              <w:szCs w:val="26"/>
                                            </w:rPr>
                                            <w:t>accorder environ 26 000 prêts en 2021</w:t>
                                          </w:r>
                                          <w:r>
                                            <w:rPr>
                                              <w:rFonts w:ascii="Arial" w:hAnsi="Arial" w:cs="Arial"/>
                                              <w:color w:val="000000"/>
                                              <w:sz w:val="26"/>
                                              <w:szCs w:val="26"/>
                                            </w:rPr>
                                            <w:t xml:space="preserve">, contre 15 000 en 2020, à des personnes éloignées de l’emploi, avec la garantie de l’Etat, </w:t>
                                          </w:r>
                                          <w:r>
                                            <w:rPr>
                                              <w:rStyle w:val="lev"/>
                                              <w:rFonts w:ascii="Arial" w:hAnsi="Arial" w:cs="Arial"/>
                                              <w:color w:val="000000"/>
                                              <w:sz w:val="26"/>
                                              <w:szCs w:val="26"/>
                                            </w:rPr>
                                            <w:t xml:space="preserve">pour financer l’acquisition d’une voiture, d’un deux roues, </w:t>
                                          </w:r>
                                          <w:r>
                                            <w:rPr>
                                              <w:rStyle w:val="lev"/>
                                              <w:rFonts w:ascii="Arial" w:hAnsi="Arial" w:cs="Arial"/>
                                              <w:color w:val="000000"/>
                                              <w:sz w:val="26"/>
                                              <w:szCs w:val="26"/>
                                            </w:rPr>
                                            <w:lastRenderedPageBreak/>
                                            <w:t>la réparation de son véhicule, le permis de conduire ou l’assurance automobile</w:t>
                                          </w:r>
                                          <w:r>
                                            <w:rPr>
                                              <w:rFonts w:ascii="Arial" w:hAnsi="Arial" w:cs="Arial"/>
                                              <w:color w:val="000000"/>
                                              <w:sz w:val="26"/>
                                              <w:szCs w:val="26"/>
                                            </w:rPr>
                                            <w:t>.</w:t>
                                          </w:r>
                                        </w:p>
                                        <w:p w14:paraId="6181032A" w14:textId="77777777" w:rsidR="000C47FC" w:rsidRDefault="000C47FC">
                                          <w:pPr>
                                            <w:pStyle w:val="NormalWeb"/>
                                            <w:spacing w:before="0" w:beforeAutospacing="0" w:after="0" w:afterAutospacing="0" w:line="360" w:lineRule="exact"/>
                                            <w:rPr>
                                              <w:rFonts w:ascii="Arial" w:hAnsi="Arial" w:cs="Arial"/>
                                              <w:color w:val="393939"/>
                                              <w:sz w:val="26"/>
                                              <w:szCs w:val="26"/>
                                            </w:rPr>
                                          </w:pPr>
                                          <w:r>
                                            <w:rPr>
                                              <w:rFonts w:ascii="Arial" w:hAnsi="Arial" w:cs="Arial"/>
                                              <w:color w:val="393939"/>
                                              <w:sz w:val="26"/>
                                              <w:szCs w:val="26"/>
                                            </w:rPr>
                                            <w:t> </w:t>
                                          </w:r>
                                        </w:p>
                                        <w:p w14:paraId="2D634F0E" w14:textId="77777777" w:rsidR="000C47FC" w:rsidRDefault="000C47FC">
                                          <w:pPr>
                                            <w:pStyle w:val="NormalWeb"/>
                                            <w:spacing w:before="0" w:beforeAutospacing="0" w:after="0" w:afterAutospacing="0" w:line="360" w:lineRule="exact"/>
                                            <w:jc w:val="both"/>
                                            <w:rPr>
                                              <w:rFonts w:ascii="Arial" w:hAnsi="Arial" w:cs="Arial"/>
                                              <w:color w:val="393939"/>
                                              <w:sz w:val="26"/>
                                              <w:szCs w:val="26"/>
                                            </w:rPr>
                                          </w:pPr>
                                          <w:r>
                                            <w:rPr>
                                              <w:rFonts w:ascii="Arial" w:hAnsi="Arial" w:cs="Arial"/>
                                              <w:color w:val="000000"/>
                                              <w:sz w:val="26"/>
                                              <w:szCs w:val="26"/>
                                            </w:rPr>
                                            <w:t>La Banque de France, les Banques et réseaux associatifs, membres de l’OIB et acteurs de la mise en œuvre du micro-crédit ont fait part de leur soutien à cette mesure, réel levier d’insertion économique et sociale et d’inclusion bancaire au service des personnes qui n’ont pas accès au crédit classique.</w:t>
                                          </w:r>
                                        </w:p>
                                      </w:tc>
                                    </w:tr>
                                  </w:tbl>
                                  <w:p w14:paraId="0B5AD7D8" w14:textId="77777777" w:rsidR="000C47FC" w:rsidRDefault="000C47FC">
                                    <w:pPr>
                                      <w:rPr>
                                        <w:rFonts w:ascii="Times New Roman" w:eastAsia="Times New Roman" w:hAnsi="Times New Roman" w:cs="Times New Roman"/>
                                      </w:rPr>
                                    </w:pPr>
                                  </w:p>
                                </w:tc>
                              </w:tr>
                            </w:tbl>
                            <w:p w14:paraId="101B4678" w14:textId="77777777" w:rsidR="000C47FC" w:rsidRDefault="000C47FC">
                              <w:pPr>
                                <w:rPr>
                                  <w:rFonts w:eastAsia="Times New Roman"/>
                                </w:rPr>
                              </w:pPr>
                            </w:p>
                          </w:tc>
                        </w:tr>
                      </w:tbl>
                      <w:p w14:paraId="03D71DC5" w14:textId="77777777" w:rsidR="000C47FC" w:rsidRDefault="000C47FC">
                        <w:pPr>
                          <w:jc w:val="center"/>
                          <w:rPr>
                            <w:rFonts w:eastAsia="Times New Roman"/>
                          </w:rPr>
                        </w:pPr>
                      </w:p>
                    </w:tc>
                  </w:tr>
                </w:tbl>
                <w:p w14:paraId="33A8CE7F" w14:textId="77777777" w:rsidR="000C47FC" w:rsidRDefault="000C47FC">
                  <w:pPr>
                    <w:jc w:val="center"/>
                    <w:rPr>
                      <w:rFonts w:eastAsia="Times New Roman"/>
                    </w:rPr>
                  </w:pPr>
                </w:p>
              </w:tc>
              <w:tc>
                <w:tcPr>
                  <w:tcW w:w="150" w:type="dxa"/>
                  <w:shd w:val="clear" w:color="auto" w:fill="FFFFFF"/>
                  <w:vAlign w:val="center"/>
                  <w:hideMark/>
                </w:tcPr>
                <w:p w14:paraId="6E06A757" w14:textId="77777777" w:rsidR="000C47FC" w:rsidRDefault="000C47FC">
                  <w:pPr>
                    <w:rPr>
                      <w:rFonts w:eastAsia="Times New Roman"/>
                    </w:rPr>
                  </w:pPr>
                </w:p>
              </w:tc>
            </w:tr>
          </w:tbl>
          <w:p w14:paraId="3364BE70" w14:textId="77777777" w:rsidR="000C47FC" w:rsidRDefault="000C47FC">
            <w:pPr>
              <w:rPr>
                <w:rFonts w:eastAsia="Times New Roman"/>
              </w:rPr>
            </w:pPr>
          </w:p>
        </w:tc>
      </w:tr>
    </w:tbl>
    <w:p w14:paraId="549B53E2" w14:textId="77777777" w:rsidR="000C47FC" w:rsidRDefault="000C47FC" w:rsidP="000C47FC">
      <w:pPr>
        <w:rPr>
          <w:rFonts w:eastAsia="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982"/>
      </w:tblGrid>
      <w:tr w:rsidR="000C47FC" w14:paraId="130F02E7" w14:textId="77777777" w:rsidTr="000C47FC">
        <w:trPr>
          <w:tblCellSpacing w:w="0" w:type="dxa"/>
          <w:hidden/>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48"/>
              <w:gridCol w:w="9685"/>
              <w:gridCol w:w="149"/>
            </w:tblGrid>
            <w:tr w:rsidR="000C47FC" w14:paraId="606DCC91" w14:textId="77777777">
              <w:trPr>
                <w:hidden/>
              </w:trPr>
              <w:tc>
                <w:tcPr>
                  <w:tcW w:w="150" w:type="dxa"/>
                  <w:shd w:val="clear" w:color="auto" w:fill="FFFFFF"/>
                  <w:vAlign w:val="center"/>
                  <w:hideMark/>
                </w:tcPr>
                <w:p w14:paraId="65EDDA38" w14:textId="77777777" w:rsidR="000C47FC" w:rsidRDefault="000C47FC">
                  <w:pPr>
                    <w:rPr>
                      <w:rFonts w:eastAsia="Times New Roman"/>
                      <w:vanish/>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85"/>
                  </w:tblGrid>
                  <w:tr w:rsidR="000C47FC" w14:paraId="46A7060B" w14:textId="77777777">
                    <w:trPr>
                      <w:tblCellSpacing w:w="0" w:type="dxa"/>
                      <w:jc w:val="center"/>
                    </w:trPr>
                    <w:tc>
                      <w:tcPr>
                        <w:tcW w:w="0" w:type="auto"/>
                        <w:vAlign w:val="center"/>
                        <w:hideMark/>
                      </w:tcPr>
                      <w:tbl>
                        <w:tblPr>
                          <w:tblW w:w="5000" w:type="pct"/>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685"/>
                        </w:tblGrid>
                        <w:tr w:rsidR="000C47FC" w14:paraId="0B1ADABE" w14:textId="77777777">
                          <w:trPr>
                            <w:tblCellSpacing w:w="0" w:type="dxa"/>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685"/>
                              </w:tblGrid>
                              <w:tr w:rsidR="000C47FC" w14:paraId="0E1EBD83" w14:textId="77777777">
                                <w:tc>
                                  <w:tcPr>
                                    <w:tcW w:w="0" w:type="auto"/>
                                    <w:tcMar>
                                      <w:top w:w="165" w:type="dxa"/>
                                      <w:left w:w="165" w:type="dxa"/>
                                      <w:bottom w:w="165" w:type="dxa"/>
                                      <w:right w:w="165"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355"/>
                                    </w:tblGrid>
                                    <w:tr w:rsidR="000C47FC" w14:paraId="7F784A8A" w14:textId="77777777">
                                      <w:tc>
                                        <w:tcPr>
                                          <w:tcW w:w="0" w:type="auto"/>
                                          <w:vAlign w:val="center"/>
                                          <w:hideMark/>
                                        </w:tcPr>
                                        <w:p w14:paraId="70D97D5E" w14:textId="77777777" w:rsidR="000C47FC" w:rsidRDefault="000C47FC">
                                          <w:pPr>
                                            <w:pStyle w:val="NormalWeb"/>
                                            <w:spacing w:before="0" w:beforeAutospacing="0" w:after="0" w:afterAutospacing="0" w:line="360" w:lineRule="exact"/>
                                            <w:jc w:val="center"/>
                                            <w:rPr>
                                              <w:rFonts w:ascii="Arial" w:eastAsiaTheme="minorHAnsi" w:hAnsi="Arial" w:cs="Arial"/>
                                              <w:color w:val="393939"/>
                                              <w:sz w:val="26"/>
                                              <w:szCs w:val="26"/>
                                            </w:rPr>
                                          </w:pPr>
                                          <w:r>
                                            <w:rPr>
                                              <w:rStyle w:val="lev"/>
                                              <w:rFonts w:ascii="Arial" w:hAnsi="Arial" w:cs="Arial"/>
                                              <w:color w:val="000000"/>
                                              <w:sz w:val="23"/>
                                              <w:szCs w:val="23"/>
                                              <w:u w:val="single"/>
                                              <w:shd w:val="clear" w:color="auto" w:fill="FFFFFF"/>
                                            </w:rPr>
                                            <w:t>Le micro-crédit personnel</w:t>
                                          </w:r>
                                        </w:p>
                                        <w:p w14:paraId="62AB75FC" w14:textId="77777777" w:rsidR="000C47FC" w:rsidRDefault="000C47FC">
                                          <w:pPr>
                                            <w:pStyle w:val="NormalWeb"/>
                                            <w:spacing w:before="0" w:beforeAutospacing="0" w:after="0" w:afterAutospacing="0" w:line="360" w:lineRule="exact"/>
                                            <w:jc w:val="both"/>
                                            <w:rPr>
                                              <w:rFonts w:ascii="Arial" w:hAnsi="Arial" w:cs="Arial"/>
                                              <w:color w:val="393939"/>
                                              <w:sz w:val="26"/>
                                              <w:szCs w:val="26"/>
                                            </w:rPr>
                                          </w:pPr>
                                          <w:r>
                                            <w:rPr>
                                              <w:rFonts w:ascii="Arial" w:hAnsi="Arial" w:cs="Arial"/>
                                              <w:color w:val="393939"/>
                                              <w:sz w:val="26"/>
                                              <w:szCs w:val="26"/>
                                            </w:rPr>
                                            <w:t> </w:t>
                                          </w:r>
                                        </w:p>
                                        <w:p w14:paraId="66DA21AE" w14:textId="77777777" w:rsidR="000C47FC" w:rsidRDefault="000C47FC">
                                          <w:pPr>
                                            <w:pStyle w:val="NormalWeb"/>
                                            <w:spacing w:before="0" w:beforeAutospacing="0" w:after="0" w:afterAutospacing="0" w:line="360" w:lineRule="exact"/>
                                            <w:jc w:val="both"/>
                                            <w:rPr>
                                              <w:rFonts w:ascii="Arial" w:hAnsi="Arial" w:cs="Arial"/>
                                              <w:color w:val="393939"/>
                                              <w:sz w:val="26"/>
                                              <w:szCs w:val="26"/>
                                            </w:rPr>
                                          </w:pPr>
                                          <w:r>
                                            <w:rPr>
                                              <w:rFonts w:ascii="Arial" w:hAnsi="Arial" w:cs="Arial"/>
                                              <w:color w:val="000000"/>
                                              <w:sz w:val="23"/>
                                              <w:szCs w:val="23"/>
                                              <w:shd w:val="clear" w:color="auto" w:fill="FFFFFF"/>
                                            </w:rPr>
                                            <w:t>Le micro-crédit personnel s’adresse aux personnes exclues du système bancaire classique du fait d’une insuffisance de revenus ou d’une situation de précarité sociale. Il est destiné à faciliter le retour vers l’emploi de personnes qui sont exclues du marché du travail.</w:t>
                                          </w:r>
                                        </w:p>
                                        <w:p w14:paraId="594B07F2" w14:textId="77777777" w:rsidR="000C47FC" w:rsidRDefault="000C47FC">
                                          <w:pPr>
                                            <w:pStyle w:val="NormalWeb"/>
                                            <w:spacing w:before="0" w:beforeAutospacing="0" w:after="0" w:afterAutospacing="0" w:line="360" w:lineRule="exact"/>
                                            <w:jc w:val="both"/>
                                            <w:rPr>
                                              <w:rFonts w:ascii="Arial" w:hAnsi="Arial" w:cs="Arial"/>
                                              <w:color w:val="393939"/>
                                              <w:sz w:val="26"/>
                                              <w:szCs w:val="26"/>
                                            </w:rPr>
                                          </w:pPr>
                                          <w:r>
                                            <w:rPr>
                                              <w:rFonts w:ascii="Arial" w:hAnsi="Arial" w:cs="Arial"/>
                                              <w:color w:val="393939"/>
                                              <w:sz w:val="26"/>
                                              <w:szCs w:val="26"/>
                                            </w:rPr>
                                            <w:t> </w:t>
                                          </w:r>
                                        </w:p>
                                        <w:p w14:paraId="2E7CB2CB" w14:textId="77777777" w:rsidR="000C47FC" w:rsidRDefault="000C47FC">
                                          <w:pPr>
                                            <w:pStyle w:val="NormalWeb"/>
                                            <w:spacing w:before="0" w:beforeAutospacing="0" w:after="0" w:afterAutospacing="0" w:line="360" w:lineRule="exact"/>
                                            <w:jc w:val="both"/>
                                            <w:rPr>
                                              <w:rFonts w:ascii="Arial" w:hAnsi="Arial" w:cs="Arial"/>
                                              <w:color w:val="393939"/>
                                              <w:sz w:val="26"/>
                                              <w:szCs w:val="26"/>
                                            </w:rPr>
                                          </w:pPr>
                                          <w:r>
                                            <w:rPr>
                                              <w:rFonts w:ascii="Arial" w:hAnsi="Arial" w:cs="Arial"/>
                                              <w:color w:val="000000"/>
                                              <w:sz w:val="23"/>
                                              <w:szCs w:val="23"/>
                                              <w:shd w:val="clear" w:color="auto" w:fill="FFFFFF"/>
                                            </w:rPr>
                                            <w:t xml:space="preserve">Les prêts sont accordés par les Banques ou institutions de micro-finance avec la garantie de l’Etat sous réserve d’un accompagnement social et d’une capacité de remboursement suffisante. L’accompagnement est fait par des structures locales de 10 grands réseaux nationaux. Il s’agit de </w:t>
                                          </w:r>
                                          <w:r>
                                            <w:rPr>
                                              <w:rStyle w:val="lev"/>
                                              <w:rFonts w:ascii="Arial" w:hAnsi="Arial" w:cs="Arial"/>
                                              <w:color w:val="000000"/>
                                              <w:sz w:val="23"/>
                                              <w:szCs w:val="23"/>
                                              <w:shd w:val="clear" w:color="auto" w:fill="FFFFFF"/>
                                            </w:rPr>
                                            <w:t>prêts d’un montant inférieur ou égal, dans 60% des cas, à 3000 euros, et de maximum 5000 euros</w:t>
                                          </w:r>
                                          <w:r>
                                            <w:rPr>
                                              <w:rFonts w:ascii="Arial" w:hAnsi="Arial" w:cs="Arial"/>
                                              <w:color w:val="000000"/>
                                              <w:sz w:val="23"/>
                                              <w:szCs w:val="23"/>
                                              <w:shd w:val="clear" w:color="auto" w:fill="FFFFFF"/>
                                            </w:rPr>
                                            <w:t>.</w:t>
                                          </w:r>
                                        </w:p>
                                        <w:p w14:paraId="00E3F476" w14:textId="77777777" w:rsidR="000C47FC" w:rsidRDefault="000C47FC">
                                          <w:pPr>
                                            <w:pStyle w:val="NormalWeb"/>
                                            <w:spacing w:before="0" w:beforeAutospacing="0" w:after="0" w:afterAutospacing="0" w:line="360" w:lineRule="exact"/>
                                            <w:jc w:val="both"/>
                                            <w:rPr>
                                              <w:rFonts w:ascii="Arial" w:hAnsi="Arial" w:cs="Arial"/>
                                              <w:color w:val="393939"/>
                                              <w:sz w:val="26"/>
                                              <w:szCs w:val="26"/>
                                            </w:rPr>
                                          </w:pPr>
                                          <w:r>
                                            <w:rPr>
                                              <w:rFonts w:ascii="Arial" w:hAnsi="Arial" w:cs="Arial"/>
                                              <w:color w:val="000000"/>
                                              <w:sz w:val="23"/>
                                              <w:szCs w:val="23"/>
                                              <w:shd w:val="clear" w:color="auto" w:fill="FFFFFF"/>
                                            </w:rPr>
                                            <w:t>Plusieurs évaluations ont démontré l’efficacité du micro-crédit comme levier d’insertion économique et sociale et d’inclusion bancaire.</w:t>
                                          </w:r>
                                        </w:p>
                                        <w:p w14:paraId="4425F6C2" w14:textId="77777777" w:rsidR="000C47FC" w:rsidRDefault="000C47FC">
                                          <w:pPr>
                                            <w:pStyle w:val="NormalWeb"/>
                                            <w:spacing w:before="0" w:beforeAutospacing="0" w:after="0" w:afterAutospacing="0" w:line="360" w:lineRule="exact"/>
                                            <w:jc w:val="both"/>
                                            <w:rPr>
                                              <w:rFonts w:ascii="Arial" w:hAnsi="Arial" w:cs="Arial"/>
                                              <w:color w:val="393939"/>
                                              <w:sz w:val="26"/>
                                              <w:szCs w:val="26"/>
                                            </w:rPr>
                                          </w:pPr>
                                          <w:r>
                                            <w:rPr>
                                              <w:rFonts w:ascii="Arial" w:hAnsi="Arial" w:cs="Arial"/>
                                              <w:color w:val="000000"/>
                                              <w:sz w:val="23"/>
                                              <w:szCs w:val="23"/>
                                              <w:shd w:val="clear" w:color="auto" w:fill="FFFFFF"/>
                                            </w:rPr>
                                            <w:t>En 2020, 15 000 prêts ont ainsi été accordés pour financer la levée des freins à la mobilité vers l’emploi : acquisition ou réparation de voitures, de deux-roues, financement du permis de conduire, de l’assurance.</w:t>
                                          </w:r>
                                        </w:p>
                                      </w:tc>
                                    </w:tr>
                                  </w:tbl>
                                  <w:p w14:paraId="44D0822C" w14:textId="77777777" w:rsidR="000C47FC" w:rsidRDefault="000C47FC">
                                    <w:pPr>
                                      <w:rPr>
                                        <w:rFonts w:ascii="Times New Roman" w:eastAsia="Times New Roman" w:hAnsi="Times New Roman" w:cs="Times New Roman"/>
                                      </w:rPr>
                                    </w:pPr>
                                  </w:p>
                                </w:tc>
                              </w:tr>
                            </w:tbl>
                            <w:p w14:paraId="4C58F0CE" w14:textId="77777777" w:rsidR="000C47FC" w:rsidRDefault="000C47FC">
                              <w:pPr>
                                <w:rPr>
                                  <w:rFonts w:eastAsia="Times New Roman"/>
                                </w:rPr>
                              </w:pPr>
                            </w:p>
                          </w:tc>
                        </w:tr>
                      </w:tbl>
                      <w:p w14:paraId="20465E94" w14:textId="77777777" w:rsidR="000C47FC" w:rsidRDefault="000C47FC">
                        <w:pPr>
                          <w:jc w:val="center"/>
                          <w:rPr>
                            <w:rFonts w:eastAsia="Times New Roman"/>
                          </w:rPr>
                        </w:pPr>
                      </w:p>
                    </w:tc>
                  </w:tr>
                </w:tbl>
                <w:p w14:paraId="109FA945" w14:textId="77777777" w:rsidR="000C47FC" w:rsidRDefault="000C47FC">
                  <w:pPr>
                    <w:jc w:val="center"/>
                    <w:rPr>
                      <w:rFonts w:eastAsia="Times New Roman"/>
                    </w:rPr>
                  </w:pPr>
                </w:p>
              </w:tc>
              <w:tc>
                <w:tcPr>
                  <w:tcW w:w="150" w:type="dxa"/>
                  <w:shd w:val="clear" w:color="auto" w:fill="FFFFFF"/>
                  <w:vAlign w:val="center"/>
                  <w:hideMark/>
                </w:tcPr>
                <w:p w14:paraId="582D644D" w14:textId="77777777" w:rsidR="000C47FC" w:rsidRDefault="000C47FC">
                  <w:pPr>
                    <w:rPr>
                      <w:rFonts w:eastAsia="Times New Roman"/>
                    </w:rPr>
                  </w:pPr>
                </w:p>
              </w:tc>
            </w:tr>
          </w:tbl>
          <w:p w14:paraId="6F4DB469" w14:textId="77777777" w:rsidR="000C47FC" w:rsidRDefault="000C47FC">
            <w:pPr>
              <w:rPr>
                <w:rFonts w:eastAsia="Times New Roman"/>
              </w:rPr>
            </w:pPr>
          </w:p>
        </w:tc>
      </w:tr>
      <w:tr w:rsidR="000C47FC" w14:paraId="1695C91A" w14:textId="77777777" w:rsidTr="000C47FC">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49"/>
              <w:gridCol w:w="9684"/>
              <w:gridCol w:w="149"/>
            </w:tblGrid>
            <w:tr w:rsidR="000C47FC" w14:paraId="7269BA03" w14:textId="77777777">
              <w:tc>
                <w:tcPr>
                  <w:tcW w:w="150" w:type="dxa"/>
                  <w:shd w:val="clear" w:color="auto" w:fill="FFFFFF"/>
                  <w:vAlign w:val="center"/>
                  <w:hideMark/>
                </w:tcPr>
                <w:p w14:paraId="41EF1AFB" w14:textId="77777777" w:rsidR="000C47FC" w:rsidRDefault="000C47FC">
                  <w:pPr>
                    <w:rPr>
                      <w:rFonts w:eastAsia="Times New Roman"/>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84"/>
                  </w:tblGrid>
                  <w:tr w:rsidR="000C47FC" w14:paraId="1395DCE5" w14:textId="7777777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84"/>
                        </w:tblGrid>
                        <w:tr w:rsidR="000C47FC" w14:paraId="3DC2553D" w14:textId="77777777">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684"/>
                              </w:tblGrid>
                              <w:tr w:rsidR="000C47FC" w14:paraId="1BE13BE9" w14:textId="77777777">
                                <w:tc>
                                  <w:tcPr>
                                    <w:tcW w:w="0" w:type="auto"/>
                                    <w:tcMar>
                                      <w:top w:w="165" w:type="dxa"/>
                                      <w:left w:w="165" w:type="dxa"/>
                                      <w:bottom w:w="165" w:type="dxa"/>
                                      <w:right w:w="165"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9354"/>
                                    </w:tblGrid>
                                    <w:tr w:rsidR="000C47FC" w14:paraId="287F196F" w14:textId="77777777">
                                      <w:tc>
                                        <w:tcPr>
                                          <w:tcW w:w="0" w:type="auto"/>
                                          <w:vAlign w:val="center"/>
                                          <w:hideMark/>
                                        </w:tcPr>
                                        <w:p w14:paraId="0CEAD878" w14:textId="77777777" w:rsidR="000C47FC" w:rsidRDefault="000C47FC">
                                          <w:pPr>
                                            <w:pStyle w:val="NormalWeb"/>
                                            <w:spacing w:before="0" w:beforeAutospacing="0" w:after="0" w:afterAutospacing="0" w:line="360" w:lineRule="exact"/>
                                            <w:jc w:val="both"/>
                                            <w:rPr>
                                              <w:rFonts w:ascii="Arial" w:eastAsiaTheme="minorHAnsi" w:hAnsi="Arial" w:cs="Arial"/>
                                              <w:color w:val="393939"/>
                                              <w:sz w:val="26"/>
                                              <w:szCs w:val="26"/>
                                            </w:rPr>
                                          </w:pPr>
                                          <w:r>
                                            <w:rPr>
                                              <w:rStyle w:val="lev"/>
                                              <w:rFonts w:ascii="Arial" w:hAnsi="Arial" w:cs="Arial"/>
                                              <w:color w:val="000000"/>
                                              <w:sz w:val="26"/>
                                              <w:szCs w:val="26"/>
                                            </w:rPr>
                                            <w:t>Brigitte KLINKERT</w:t>
                                          </w:r>
                                          <w:r>
                                            <w:rPr>
                                              <w:rFonts w:ascii="Arial" w:hAnsi="Arial" w:cs="Arial"/>
                                              <w:color w:val="000000"/>
                                              <w:sz w:val="26"/>
                                              <w:szCs w:val="26"/>
                                            </w:rPr>
                                            <w:t xml:space="preserve">, ministre déléguée auprès de la ministre du Travail, de l'Emploi et de l'Insertion, chargée de l’Insertion déclare : « </w:t>
                                          </w:r>
                                          <w:r>
                                            <w:rPr>
                                              <w:rStyle w:val="Accentuation"/>
                                              <w:rFonts w:ascii="Arial" w:hAnsi="Arial" w:cs="Arial"/>
                                              <w:color w:val="000000"/>
                                              <w:sz w:val="26"/>
                                              <w:szCs w:val="26"/>
                                            </w:rPr>
                                            <w:t>Chaque semaine lorsque je rencontre à travers le pays nos concitoyens les plus éloignés de l’emploi je constate que la mobilité est pour beaucoup un frein majeur pour retrouver un travail. Le micro-crédit est une solution utile pour lever cette barrière. Cet outil de financement doit permettre à ceux qui en ont besoin de retrouver une autonomie dans leurs déplacements et faire aboutir ainsi leur projet professionnel.</w:t>
                                          </w:r>
                                          <w:r>
                                            <w:rPr>
                                              <w:rFonts w:ascii="Arial" w:hAnsi="Arial" w:cs="Arial"/>
                                              <w:color w:val="000000"/>
                                              <w:sz w:val="26"/>
                                              <w:szCs w:val="26"/>
                                            </w:rPr>
                                            <w:t> »</w:t>
                                          </w:r>
                                        </w:p>
                                      </w:tc>
                                    </w:tr>
                                  </w:tbl>
                                  <w:p w14:paraId="2EFF86C0" w14:textId="77777777" w:rsidR="000C47FC" w:rsidRDefault="000C47FC">
                                    <w:pPr>
                                      <w:rPr>
                                        <w:rFonts w:ascii="Times New Roman" w:eastAsia="Times New Roman" w:hAnsi="Times New Roman" w:cs="Times New Roman"/>
                                      </w:rPr>
                                    </w:pPr>
                                  </w:p>
                                </w:tc>
                              </w:tr>
                            </w:tbl>
                            <w:p w14:paraId="2AC40A0D" w14:textId="77777777" w:rsidR="000C47FC" w:rsidRDefault="000C47FC">
                              <w:pPr>
                                <w:rPr>
                                  <w:rFonts w:eastAsia="Times New Roman"/>
                                </w:rPr>
                              </w:pPr>
                            </w:p>
                          </w:tc>
                        </w:tr>
                      </w:tbl>
                      <w:p w14:paraId="634CC7B2" w14:textId="77777777" w:rsidR="000C47FC" w:rsidRDefault="000C47FC">
                        <w:pPr>
                          <w:jc w:val="center"/>
                          <w:rPr>
                            <w:rFonts w:eastAsia="Times New Roman"/>
                          </w:rPr>
                        </w:pPr>
                      </w:p>
                    </w:tc>
                  </w:tr>
                </w:tbl>
                <w:p w14:paraId="7747FFE0" w14:textId="77777777" w:rsidR="000C47FC" w:rsidRDefault="000C47FC">
                  <w:pPr>
                    <w:jc w:val="center"/>
                    <w:rPr>
                      <w:rFonts w:eastAsia="Times New Roman"/>
                    </w:rPr>
                  </w:pPr>
                </w:p>
              </w:tc>
              <w:tc>
                <w:tcPr>
                  <w:tcW w:w="150" w:type="dxa"/>
                  <w:shd w:val="clear" w:color="auto" w:fill="FFFFFF"/>
                  <w:vAlign w:val="center"/>
                  <w:hideMark/>
                </w:tcPr>
                <w:p w14:paraId="2030278B" w14:textId="77777777" w:rsidR="000C47FC" w:rsidRDefault="000C47FC">
                  <w:pPr>
                    <w:rPr>
                      <w:rFonts w:eastAsia="Times New Roman"/>
                    </w:rPr>
                  </w:pPr>
                </w:p>
              </w:tc>
            </w:tr>
          </w:tbl>
          <w:p w14:paraId="5D11FFF9" w14:textId="77777777" w:rsidR="000C47FC" w:rsidRDefault="000C47FC">
            <w:pPr>
              <w:rPr>
                <w:rFonts w:eastAsia="Times New Roman"/>
              </w:rPr>
            </w:pPr>
          </w:p>
        </w:tc>
      </w:tr>
    </w:tbl>
    <w:p w14:paraId="4CF66ABF" w14:textId="77777777" w:rsidR="007018E5" w:rsidRPr="006E14E0" w:rsidRDefault="007018E5" w:rsidP="001B2ED6">
      <w:pPr>
        <w:pStyle w:val="NormalWeb"/>
        <w:spacing w:before="0" w:beforeAutospacing="0" w:after="0" w:afterAutospacing="0"/>
        <w:rPr>
          <w:rFonts w:asciiTheme="majorHAnsi" w:hAnsiTheme="majorHAnsi" w:cstheme="majorHAnsi"/>
          <w:b/>
          <w:sz w:val="22"/>
        </w:rPr>
      </w:pPr>
      <w:bookmarkStart w:id="0" w:name="_GoBack"/>
      <w:bookmarkEnd w:id="0"/>
    </w:p>
    <w:p w14:paraId="2469F4DC" w14:textId="77777777" w:rsidR="001A3F28" w:rsidRPr="006E14E0" w:rsidRDefault="001A3F28" w:rsidP="001B2ED6">
      <w:pPr>
        <w:pStyle w:val="NormalWeb"/>
        <w:spacing w:before="0" w:beforeAutospacing="0" w:after="0" w:afterAutospacing="0"/>
        <w:rPr>
          <w:rFonts w:asciiTheme="majorHAnsi" w:hAnsiTheme="majorHAnsi" w:cstheme="majorHAnsi"/>
          <w:b/>
          <w:sz w:val="22"/>
        </w:rPr>
        <w:sectPr w:rsidR="001A3F28" w:rsidRPr="006E14E0" w:rsidSect="00E420B8">
          <w:headerReference w:type="default" r:id="rId12"/>
          <w:footerReference w:type="default" r:id="rId13"/>
          <w:type w:val="continuous"/>
          <w:pgSz w:w="11910" w:h="16840"/>
          <w:pgMar w:top="963" w:right="964" w:bottom="568" w:left="964" w:header="720" w:footer="720" w:gutter="0"/>
          <w:cols w:space="720"/>
        </w:sectPr>
      </w:pPr>
    </w:p>
    <w:p w14:paraId="0FE35CBD" w14:textId="77777777" w:rsidR="001A3F28" w:rsidRPr="006E14E0" w:rsidRDefault="001B2ED6" w:rsidP="001B2ED6">
      <w:pPr>
        <w:pStyle w:val="NormalWeb"/>
        <w:spacing w:before="0" w:beforeAutospacing="0" w:after="0" w:afterAutospacing="0"/>
        <w:rPr>
          <w:rFonts w:asciiTheme="majorHAnsi" w:hAnsiTheme="majorHAnsi" w:cstheme="majorHAnsi"/>
          <w:b/>
          <w:sz w:val="18"/>
        </w:rPr>
      </w:pPr>
      <w:r w:rsidRPr="006E14E0">
        <w:rPr>
          <w:rFonts w:asciiTheme="majorHAnsi" w:hAnsiTheme="majorHAnsi" w:cstheme="majorHAnsi"/>
          <w:b/>
          <w:sz w:val="18"/>
        </w:rPr>
        <w:t>Cabinet de Madame Brigitte Klinkert</w:t>
      </w:r>
      <w:r w:rsidR="006B01FC" w:rsidRPr="006E14E0">
        <w:rPr>
          <w:rFonts w:asciiTheme="majorHAnsi" w:hAnsiTheme="majorHAnsi" w:cstheme="majorHAnsi"/>
          <w:b/>
          <w:sz w:val="18"/>
        </w:rPr>
        <w:t xml:space="preserve">, </w:t>
      </w:r>
      <w:r w:rsidR="006403EF" w:rsidRPr="006E14E0">
        <w:rPr>
          <w:rFonts w:asciiTheme="majorHAnsi" w:hAnsiTheme="majorHAnsi" w:cstheme="majorHAnsi"/>
          <w:b/>
          <w:sz w:val="18"/>
        </w:rPr>
        <w:t>ministre déléguée à l’Insertion</w:t>
      </w:r>
    </w:p>
    <w:p w14:paraId="206976B5" w14:textId="77777777" w:rsidR="001B2ED6" w:rsidRPr="006E14E0" w:rsidRDefault="001B2ED6" w:rsidP="001B2ED6">
      <w:pPr>
        <w:pStyle w:val="NormalWeb"/>
        <w:spacing w:before="0" w:beforeAutospacing="0" w:after="0" w:afterAutospacing="0"/>
        <w:rPr>
          <w:rFonts w:asciiTheme="majorHAnsi" w:hAnsiTheme="majorHAnsi" w:cstheme="majorHAnsi"/>
          <w:b/>
          <w:sz w:val="18"/>
        </w:rPr>
      </w:pPr>
      <w:r w:rsidRPr="006E14E0">
        <w:rPr>
          <w:rFonts w:asciiTheme="majorHAnsi" w:hAnsiTheme="majorHAnsi" w:cstheme="majorHAnsi"/>
          <w:b/>
          <w:sz w:val="18"/>
        </w:rPr>
        <w:t xml:space="preserve">Tél : </w:t>
      </w:r>
      <w:r w:rsidRPr="006E14E0">
        <w:rPr>
          <w:rFonts w:asciiTheme="majorHAnsi" w:hAnsiTheme="majorHAnsi" w:cstheme="majorHAnsi"/>
          <w:sz w:val="18"/>
        </w:rPr>
        <w:t>01 49 55 31 23</w:t>
      </w:r>
    </w:p>
    <w:p w14:paraId="08FBD280" w14:textId="77777777" w:rsidR="001B2ED6" w:rsidRPr="006E14E0" w:rsidRDefault="001A3F28" w:rsidP="001B2ED6">
      <w:pPr>
        <w:pStyle w:val="NormalWeb"/>
        <w:spacing w:before="0" w:beforeAutospacing="0" w:after="0" w:afterAutospacing="0"/>
        <w:rPr>
          <w:rFonts w:asciiTheme="majorHAnsi" w:hAnsiTheme="majorHAnsi" w:cstheme="majorHAnsi"/>
          <w:bCs/>
          <w:sz w:val="18"/>
        </w:rPr>
        <w:sectPr w:rsidR="001B2ED6" w:rsidRPr="006E14E0" w:rsidSect="00E420B8">
          <w:type w:val="continuous"/>
          <w:pgSz w:w="11910" w:h="16840"/>
          <w:pgMar w:top="963" w:right="964" w:bottom="568" w:left="964" w:header="720" w:footer="720" w:gutter="0"/>
          <w:cols w:space="720"/>
        </w:sectPr>
      </w:pPr>
      <w:r w:rsidRPr="006E14E0">
        <w:rPr>
          <w:rFonts w:asciiTheme="majorHAnsi" w:hAnsiTheme="majorHAnsi" w:cstheme="majorHAnsi"/>
          <w:b/>
          <w:sz w:val="18"/>
        </w:rPr>
        <w:t xml:space="preserve">Mél : </w:t>
      </w:r>
      <w:hyperlink r:id="rId14" w:history="1">
        <w:r w:rsidR="001B2ED6" w:rsidRPr="006E14E0">
          <w:rPr>
            <w:rStyle w:val="Lienhypertexte"/>
            <w:rFonts w:asciiTheme="majorHAnsi" w:hAnsiTheme="majorHAnsi" w:cstheme="majorHAnsi"/>
            <w:color w:val="auto"/>
            <w:sz w:val="18"/>
          </w:rPr>
          <w:t>sec.presse.insertion@cab.travail.gouv.fr</w:t>
        </w:r>
      </w:hyperlink>
    </w:p>
    <w:p w14:paraId="3FC73CAF" w14:textId="77777777" w:rsidR="001A3F28" w:rsidRPr="006E14E0" w:rsidRDefault="001A3F28" w:rsidP="001B2ED6">
      <w:pPr>
        <w:pStyle w:val="NormalWeb"/>
        <w:spacing w:before="0" w:beforeAutospacing="0" w:after="0" w:afterAutospacing="0"/>
        <w:rPr>
          <w:rFonts w:asciiTheme="majorHAnsi" w:hAnsiTheme="majorHAnsi" w:cstheme="majorHAnsi"/>
          <w:b/>
        </w:rPr>
        <w:sectPr w:rsidR="001A3F28" w:rsidRPr="006E14E0" w:rsidSect="00E420B8">
          <w:type w:val="continuous"/>
          <w:pgSz w:w="11910" w:h="16840"/>
          <w:pgMar w:top="963" w:right="964" w:bottom="568" w:left="964" w:header="720" w:footer="720" w:gutter="0"/>
          <w:cols w:space="720"/>
        </w:sectPr>
      </w:pPr>
    </w:p>
    <w:p w14:paraId="596FEAA7" w14:textId="77777777" w:rsidR="001B2ED6" w:rsidRPr="006E14E0" w:rsidRDefault="001B2ED6" w:rsidP="001B2ED6">
      <w:pPr>
        <w:pStyle w:val="NormalWeb"/>
        <w:spacing w:before="0" w:beforeAutospacing="0" w:after="0" w:afterAutospacing="0"/>
        <w:rPr>
          <w:rFonts w:asciiTheme="majorHAnsi" w:hAnsiTheme="majorHAnsi" w:cstheme="majorHAnsi"/>
          <w:b/>
        </w:rPr>
      </w:pPr>
    </w:p>
    <w:sectPr w:rsidR="001B2ED6" w:rsidRPr="006E14E0" w:rsidSect="00E420B8">
      <w:type w:val="continuous"/>
      <w:pgSz w:w="11910" w:h="16840"/>
      <w:pgMar w:top="963" w:right="964" w:bottom="568"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E2644" w14:textId="77777777" w:rsidR="00E92EB4" w:rsidRDefault="00E92EB4" w:rsidP="0079276E">
      <w:r>
        <w:separator/>
      </w:r>
    </w:p>
  </w:endnote>
  <w:endnote w:type="continuationSeparator" w:id="0">
    <w:p w14:paraId="2C3B3C2C" w14:textId="77777777" w:rsidR="00E92EB4" w:rsidRDefault="00E92EB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Microsoft Sans Serif"/>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14:paraId="3785D842" w14:textId="77777777"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4C62290" w14:textId="77777777"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CD13" w14:textId="77777777" w:rsidR="00075639" w:rsidRDefault="00075639"/>
  <w:p w14:paraId="3FBE0C92" w14:textId="77777777" w:rsidR="00965B19" w:rsidRPr="00045911" w:rsidRDefault="00965B19" w:rsidP="00F40A5B">
    <w:pPr>
      <w:tabs>
        <w:tab w:val="left" w:pos="5009"/>
      </w:tabs>
      <w:spacing w:line="170" w:lineRule="exact"/>
      <w:ind w:right="59"/>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27A3" w14:textId="77777777" w:rsidR="000E64B8" w:rsidRPr="00965B19" w:rsidRDefault="000E64B8" w:rsidP="0079276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217D8D8E" w14:textId="528B6115" w:rsidR="00C27E6A" w:rsidRPr="00C27E6A" w:rsidRDefault="00C27E6A" w:rsidP="00874AA0">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0C47FC">
          <w:rPr>
            <w:rStyle w:val="Numrodepage"/>
            <w:noProof/>
            <w:sz w:val="14"/>
            <w:szCs w:val="14"/>
          </w:rPr>
          <w:t>2</w:t>
        </w:r>
        <w:r w:rsidRPr="00C27E6A">
          <w:rPr>
            <w:rStyle w:val="Numrodepage"/>
            <w:sz w:val="14"/>
            <w:szCs w:val="14"/>
          </w:rPr>
          <w:fldChar w:fldCharType="end"/>
        </w:r>
      </w:p>
    </w:sdtContent>
  </w:sdt>
  <w:p w14:paraId="68AC4571" w14:textId="77777777" w:rsidR="000E64B8" w:rsidRPr="00965B19" w:rsidRDefault="000E6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7E334" w14:textId="77777777" w:rsidR="00E92EB4" w:rsidRDefault="00E92EB4" w:rsidP="0079276E">
      <w:r>
        <w:separator/>
      </w:r>
    </w:p>
  </w:footnote>
  <w:footnote w:type="continuationSeparator" w:id="0">
    <w:p w14:paraId="6B24963D" w14:textId="77777777" w:rsidR="00E92EB4" w:rsidRDefault="00E92EB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DDA2F" w14:textId="77777777" w:rsidR="00992DBA" w:rsidRDefault="00E14E36" w:rsidP="0047231F">
    <w:pPr>
      <w:pStyle w:val="En-tte"/>
      <w:tabs>
        <w:tab w:val="clear" w:pos="4513"/>
      </w:tabs>
      <w:jc w:val="right"/>
      <w:rPr>
        <w:b/>
        <w:bCs/>
        <w:sz w:val="24"/>
        <w:szCs w:val="24"/>
      </w:rPr>
    </w:pPr>
    <w:r>
      <w:rPr>
        <w:b/>
        <w:bCs/>
        <w:noProof/>
        <w:color w:val="1F497D"/>
        <w:lang w:eastAsia="fr-FR"/>
      </w:rPr>
      <w:drawing>
        <wp:inline distT="0" distB="0" distL="0" distR="0" wp14:anchorId="108F6EF5" wp14:editId="69A06D5D">
          <wp:extent cx="1508125" cy="1199515"/>
          <wp:effectExtent l="0" t="0" r="0" b="635"/>
          <wp:docPr id="3" name="Image 3" descr="cid:image002.png@01D6544E.80CED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544E.80CED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8125" cy="1199515"/>
                  </a:xfrm>
                  <a:prstGeom prst="rect">
                    <a:avLst/>
                  </a:prstGeom>
                  <a:noFill/>
                  <a:ln>
                    <a:noFill/>
                  </a:ln>
                </pic:spPr>
              </pic:pic>
            </a:graphicData>
          </a:graphic>
        </wp:inline>
      </w:drawing>
    </w:r>
    <w:r w:rsidR="00992DBA">
      <w:rPr>
        <w:b/>
        <w:bCs/>
        <w:sz w:val="24"/>
        <w:szCs w:val="24"/>
      </w:rPr>
      <w:tab/>
    </w:r>
  </w:p>
  <w:p w14:paraId="50981A96" w14:textId="77777777" w:rsidR="00992DBA" w:rsidRDefault="00992DBA" w:rsidP="00992DBA">
    <w:pPr>
      <w:pStyle w:val="En-tte"/>
      <w:tabs>
        <w:tab w:val="clear" w:pos="4513"/>
      </w:tabs>
      <w:jc w:val="right"/>
      <w:rPr>
        <w:b/>
        <w:bCs/>
        <w:sz w:val="24"/>
        <w:szCs w:val="24"/>
      </w:rPr>
    </w:pPr>
  </w:p>
  <w:p w14:paraId="7640BA57" w14:textId="77777777"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1889" w14:textId="77777777" w:rsidR="00E14E36" w:rsidRDefault="00E14E36">
    <w:pPr>
      <w:pStyle w:val="En-tte"/>
    </w:pPr>
    <w:r>
      <w:rPr>
        <w:b/>
        <w:bCs/>
        <w:noProof/>
        <w:color w:val="1F497D"/>
        <w:lang w:eastAsia="fr-FR"/>
      </w:rPr>
      <w:drawing>
        <wp:inline distT="0" distB="0" distL="0" distR="0" wp14:anchorId="4A908A1C" wp14:editId="260F41A5">
          <wp:extent cx="1508125" cy="1199515"/>
          <wp:effectExtent l="0" t="0" r="0" b="635"/>
          <wp:docPr id="4" name="Image 4" descr="cid:image002.png@01D6544E.80CED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6544E.80CED8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8125" cy="11995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5D43"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5.85pt;height:8.35pt;visibility:visible;mso-wrap-style:square" o:bullet="t">
        <v:imagedata r:id="rId1" o:title="-"/>
      </v:shape>
    </w:pict>
  </w:numPicBullet>
  <w:abstractNum w:abstractNumId="0" w15:restartNumberingAfterBreak="0">
    <w:nsid w:val="0A231EFC"/>
    <w:multiLevelType w:val="hybridMultilevel"/>
    <w:tmpl w:val="2676CDEA"/>
    <w:lvl w:ilvl="0" w:tplc="7E78462A">
      <w:start w:val="10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5B217C"/>
    <w:multiLevelType w:val="hybridMultilevel"/>
    <w:tmpl w:val="6E74C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4830C7B"/>
    <w:multiLevelType w:val="hybridMultilevel"/>
    <w:tmpl w:val="F61AF510"/>
    <w:lvl w:ilvl="0" w:tplc="7C66FBC4">
      <w:numFmt w:val="bullet"/>
      <w:lvlText w:val="-"/>
      <w:lvlJc w:val="left"/>
      <w:pPr>
        <w:ind w:left="1080" w:hanging="360"/>
      </w:pPr>
      <w:rPr>
        <w:rFonts w:ascii="Arial" w:eastAsiaTheme="minorHAnsi"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6C82FB6"/>
    <w:multiLevelType w:val="hybridMultilevel"/>
    <w:tmpl w:val="8C8EB116"/>
    <w:lvl w:ilvl="0" w:tplc="214A8660">
      <w:start w:val="81"/>
      <w:numFmt w:val="bullet"/>
      <w:lvlText w:val="-"/>
      <w:lvlJc w:val="left"/>
      <w:pPr>
        <w:ind w:left="720" w:hanging="360"/>
      </w:pPr>
      <w:rPr>
        <w:rFonts w:ascii="Marianne" w:eastAsiaTheme="minorHAnsi" w:hAnsi="Marianne"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B91D39"/>
    <w:multiLevelType w:val="hybridMultilevel"/>
    <w:tmpl w:val="1E4EEA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213A2D"/>
    <w:multiLevelType w:val="hybridMultilevel"/>
    <w:tmpl w:val="FA72AFD2"/>
    <w:lvl w:ilvl="0" w:tplc="96280858">
      <w:start w:val="1"/>
      <w:numFmt w:val="bullet"/>
      <w:lvlText w:val=""/>
      <w:lvlPicBulletId w:val="0"/>
      <w:lvlJc w:val="left"/>
      <w:pPr>
        <w:tabs>
          <w:tab w:val="num" w:pos="720"/>
        </w:tabs>
        <w:ind w:left="720" w:hanging="360"/>
      </w:pPr>
      <w:rPr>
        <w:rFonts w:ascii="Symbol" w:hAnsi="Symbol" w:hint="default"/>
      </w:rPr>
    </w:lvl>
    <w:lvl w:ilvl="1" w:tplc="7ED2D404" w:tentative="1">
      <w:start w:val="1"/>
      <w:numFmt w:val="bullet"/>
      <w:lvlText w:val=""/>
      <w:lvlJc w:val="left"/>
      <w:pPr>
        <w:tabs>
          <w:tab w:val="num" w:pos="1440"/>
        </w:tabs>
        <w:ind w:left="1440" w:hanging="360"/>
      </w:pPr>
      <w:rPr>
        <w:rFonts w:ascii="Symbol" w:hAnsi="Symbol" w:hint="default"/>
      </w:rPr>
    </w:lvl>
    <w:lvl w:ilvl="2" w:tplc="20560C0A" w:tentative="1">
      <w:start w:val="1"/>
      <w:numFmt w:val="bullet"/>
      <w:lvlText w:val=""/>
      <w:lvlJc w:val="left"/>
      <w:pPr>
        <w:tabs>
          <w:tab w:val="num" w:pos="2160"/>
        </w:tabs>
        <w:ind w:left="2160" w:hanging="360"/>
      </w:pPr>
      <w:rPr>
        <w:rFonts w:ascii="Symbol" w:hAnsi="Symbol" w:hint="default"/>
      </w:rPr>
    </w:lvl>
    <w:lvl w:ilvl="3" w:tplc="1ED2D074" w:tentative="1">
      <w:start w:val="1"/>
      <w:numFmt w:val="bullet"/>
      <w:lvlText w:val=""/>
      <w:lvlJc w:val="left"/>
      <w:pPr>
        <w:tabs>
          <w:tab w:val="num" w:pos="2880"/>
        </w:tabs>
        <w:ind w:left="2880" w:hanging="360"/>
      </w:pPr>
      <w:rPr>
        <w:rFonts w:ascii="Symbol" w:hAnsi="Symbol" w:hint="default"/>
      </w:rPr>
    </w:lvl>
    <w:lvl w:ilvl="4" w:tplc="98F80B44" w:tentative="1">
      <w:start w:val="1"/>
      <w:numFmt w:val="bullet"/>
      <w:lvlText w:val=""/>
      <w:lvlJc w:val="left"/>
      <w:pPr>
        <w:tabs>
          <w:tab w:val="num" w:pos="3600"/>
        </w:tabs>
        <w:ind w:left="3600" w:hanging="360"/>
      </w:pPr>
      <w:rPr>
        <w:rFonts w:ascii="Symbol" w:hAnsi="Symbol" w:hint="default"/>
      </w:rPr>
    </w:lvl>
    <w:lvl w:ilvl="5" w:tplc="96BC2970" w:tentative="1">
      <w:start w:val="1"/>
      <w:numFmt w:val="bullet"/>
      <w:lvlText w:val=""/>
      <w:lvlJc w:val="left"/>
      <w:pPr>
        <w:tabs>
          <w:tab w:val="num" w:pos="4320"/>
        </w:tabs>
        <w:ind w:left="4320" w:hanging="360"/>
      </w:pPr>
      <w:rPr>
        <w:rFonts w:ascii="Symbol" w:hAnsi="Symbol" w:hint="default"/>
      </w:rPr>
    </w:lvl>
    <w:lvl w:ilvl="6" w:tplc="22043D54" w:tentative="1">
      <w:start w:val="1"/>
      <w:numFmt w:val="bullet"/>
      <w:lvlText w:val=""/>
      <w:lvlJc w:val="left"/>
      <w:pPr>
        <w:tabs>
          <w:tab w:val="num" w:pos="5040"/>
        </w:tabs>
        <w:ind w:left="5040" w:hanging="360"/>
      </w:pPr>
      <w:rPr>
        <w:rFonts w:ascii="Symbol" w:hAnsi="Symbol" w:hint="default"/>
      </w:rPr>
    </w:lvl>
    <w:lvl w:ilvl="7" w:tplc="4B2E7246" w:tentative="1">
      <w:start w:val="1"/>
      <w:numFmt w:val="bullet"/>
      <w:lvlText w:val=""/>
      <w:lvlJc w:val="left"/>
      <w:pPr>
        <w:tabs>
          <w:tab w:val="num" w:pos="5760"/>
        </w:tabs>
        <w:ind w:left="5760" w:hanging="360"/>
      </w:pPr>
      <w:rPr>
        <w:rFonts w:ascii="Symbol" w:hAnsi="Symbol" w:hint="default"/>
      </w:rPr>
    </w:lvl>
    <w:lvl w:ilvl="8" w:tplc="7A7ECE0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A5E33EC"/>
    <w:multiLevelType w:val="hybridMultilevel"/>
    <w:tmpl w:val="1FF08F22"/>
    <w:lvl w:ilvl="0" w:tplc="040C0001">
      <w:start w:val="1"/>
      <w:numFmt w:val="bullet"/>
      <w:lvlText w:val=""/>
      <w:lvlJc w:val="left"/>
      <w:pPr>
        <w:tabs>
          <w:tab w:val="num" w:pos="720"/>
        </w:tabs>
        <w:ind w:left="720" w:hanging="360"/>
      </w:pPr>
      <w:rPr>
        <w:rFonts w:ascii="Symbol" w:hAnsi="Symbol" w:hint="default"/>
      </w:rPr>
    </w:lvl>
    <w:lvl w:ilvl="1" w:tplc="000AD232">
      <w:start w:val="1"/>
      <w:numFmt w:val="bullet"/>
      <w:lvlText w:val=""/>
      <w:lvlJc w:val="left"/>
      <w:pPr>
        <w:tabs>
          <w:tab w:val="num" w:pos="1440"/>
        </w:tabs>
        <w:ind w:left="1440" w:hanging="360"/>
      </w:pPr>
      <w:rPr>
        <w:rFonts w:ascii="Symbol" w:hAnsi="Symbol" w:hint="default"/>
      </w:rPr>
    </w:lvl>
    <w:lvl w:ilvl="2" w:tplc="5B788126">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90FED1A6" w:tentative="1">
      <w:start w:val="1"/>
      <w:numFmt w:val="bullet"/>
      <w:lvlText w:val=""/>
      <w:lvlJc w:val="left"/>
      <w:pPr>
        <w:tabs>
          <w:tab w:val="num" w:pos="3600"/>
        </w:tabs>
        <w:ind w:left="3600" w:hanging="360"/>
      </w:pPr>
      <w:rPr>
        <w:rFonts w:ascii="Symbol" w:hAnsi="Symbol" w:hint="default"/>
      </w:rPr>
    </w:lvl>
    <w:lvl w:ilvl="5" w:tplc="6C72F0E0" w:tentative="1">
      <w:start w:val="1"/>
      <w:numFmt w:val="bullet"/>
      <w:lvlText w:val=""/>
      <w:lvlJc w:val="left"/>
      <w:pPr>
        <w:tabs>
          <w:tab w:val="num" w:pos="4320"/>
        </w:tabs>
        <w:ind w:left="4320" w:hanging="360"/>
      </w:pPr>
      <w:rPr>
        <w:rFonts w:ascii="Symbol" w:hAnsi="Symbol" w:hint="default"/>
      </w:rPr>
    </w:lvl>
    <w:lvl w:ilvl="6" w:tplc="4CAE2C24" w:tentative="1">
      <w:start w:val="1"/>
      <w:numFmt w:val="bullet"/>
      <w:lvlText w:val=""/>
      <w:lvlJc w:val="left"/>
      <w:pPr>
        <w:tabs>
          <w:tab w:val="num" w:pos="5040"/>
        </w:tabs>
        <w:ind w:left="5040" w:hanging="360"/>
      </w:pPr>
      <w:rPr>
        <w:rFonts w:ascii="Symbol" w:hAnsi="Symbol" w:hint="default"/>
      </w:rPr>
    </w:lvl>
    <w:lvl w:ilvl="7" w:tplc="DF4C18C2" w:tentative="1">
      <w:start w:val="1"/>
      <w:numFmt w:val="bullet"/>
      <w:lvlText w:val=""/>
      <w:lvlJc w:val="left"/>
      <w:pPr>
        <w:tabs>
          <w:tab w:val="num" w:pos="5760"/>
        </w:tabs>
        <w:ind w:left="5760" w:hanging="360"/>
      </w:pPr>
      <w:rPr>
        <w:rFonts w:ascii="Symbol" w:hAnsi="Symbol" w:hint="default"/>
      </w:rPr>
    </w:lvl>
    <w:lvl w:ilvl="8" w:tplc="166818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DBE48CD"/>
    <w:multiLevelType w:val="hybridMultilevel"/>
    <w:tmpl w:val="5EBCA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4"/>
  </w:num>
  <w:num w:numId="6">
    <w:abstractNumId w:val="8"/>
  </w:num>
  <w:num w:numId="7">
    <w:abstractNumId w:val="5"/>
  </w:num>
  <w:num w:numId="8">
    <w:abstractNumId w:val="10"/>
  </w:num>
  <w:num w:numId="9">
    <w:abstractNumId w:val="9"/>
  </w:num>
  <w:num w:numId="10">
    <w:abstractNumId w:val="0"/>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92"/>
    <w:rsid w:val="000027E4"/>
    <w:rsid w:val="0001667B"/>
    <w:rsid w:val="000257DD"/>
    <w:rsid w:val="00040667"/>
    <w:rsid w:val="00045911"/>
    <w:rsid w:val="00057763"/>
    <w:rsid w:val="00065060"/>
    <w:rsid w:val="00075639"/>
    <w:rsid w:val="00075F14"/>
    <w:rsid w:val="00076B31"/>
    <w:rsid w:val="00080843"/>
    <w:rsid w:val="000829AA"/>
    <w:rsid w:val="000924D0"/>
    <w:rsid w:val="000948F1"/>
    <w:rsid w:val="000B27FE"/>
    <w:rsid w:val="000B2933"/>
    <w:rsid w:val="000C47FC"/>
    <w:rsid w:val="000C77CD"/>
    <w:rsid w:val="000D7F87"/>
    <w:rsid w:val="000E64B8"/>
    <w:rsid w:val="000F7761"/>
    <w:rsid w:val="00105B96"/>
    <w:rsid w:val="001078B3"/>
    <w:rsid w:val="00110401"/>
    <w:rsid w:val="0012619B"/>
    <w:rsid w:val="0013251E"/>
    <w:rsid w:val="0013667C"/>
    <w:rsid w:val="00145D9F"/>
    <w:rsid w:val="00150751"/>
    <w:rsid w:val="0015749D"/>
    <w:rsid w:val="001613CC"/>
    <w:rsid w:val="001647CD"/>
    <w:rsid w:val="00192CAD"/>
    <w:rsid w:val="001A34A8"/>
    <w:rsid w:val="001A3A27"/>
    <w:rsid w:val="001A3F28"/>
    <w:rsid w:val="001B2ED6"/>
    <w:rsid w:val="001B3397"/>
    <w:rsid w:val="001D5421"/>
    <w:rsid w:val="001F7BCE"/>
    <w:rsid w:val="00232168"/>
    <w:rsid w:val="002405F5"/>
    <w:rsid w:val="002478E4"/>
    <w:rsid w:val="0025147D"/>
    <w:rsid w:val="002560CF"/>
    <w:rsid w:val="002622F6"/>
    <w:rsid w:val="00290741"/>
    <w:rsid w:val="0029530F"/>
    <w:rsid w:val="002A403A"/>
    <w:rsid w:val="002A483F"/>
    <w:rsid w:val="002B2058"/>
    <w:rsid w:val="002C5F3D"/>
    <w:rsid w:val="002D2FEA"/>
    <w:rsid w:val="002D4308"/>
    <w:rsid w:val="002D67E4"/>
    <w:rsid w:val="002E3561"/>
    <w:rsid w:val="002E7715"/>
    <w:rsid w:val="0031480C"/>
    <w:rsid w:val="00316CCB"/>
    <w:rsid w:val="0033536E"/>
    <w:rsid w:val="00351D49"/>
    <w:rsid w:val="0035355E"/>
    <w:rsid w:val="00361129"/>
    <w:rsid w:val="003777C5"/>
    <w:rsid w:val="003A1FEB"/>
    <w:rsid w:val="00424A1E"/>
    <w:rsid w:val="004274AA"/>
    <w:rsid w:val="00430258"/>
    <w:rsid w:val="0043343A"/>
    <w:rsid w:val="004454EF"/>
    <w:rsid w:val="00455DE8"/>
    <w:rsid w:val="00464620"/>
    <w:rsid w:val="00465186"/>
    <w:rsid w:val="004714C6"/>
    <w:rsid w:val="0047231F"/>
    <w:rsid w:val="00472E32"/>
    <w:rsid w:val="0047637F"/>
    <w:rsid w:val="00491912"/>
    <w:rsid w:val="004B4946"/>
    <w:rsid w:val="004C3903"/>
    <w:rsid w:val="004F011D"/>
    <w:rsid w:val="004F403D"/>
    <w:rsid w:val="00501F5D"/>
    <w:rsid w:val="00531C34"/>
    <w:rsid w:val="005417EF"/>
    <w:rsid w:val="00552BAE"/>
    <w:rsid w:val="005554AD"/>
    <w:rsid w:val="00560B5A"/>
    <w:rsid w:val="00561B48"/>
    <w:rsid w:val="00574278"/>
    <w:rsid w:val="00583E48"/>
    <w:rsid w:val="005A4D1E"/>
    <w:rsid w:val="005A6BE0"/>
    <w:rsid w:val="005B797C"/>
    <w:rsid w:val="005C0CB2"/>
    <w:rsid w:val="005C61D4"/>
    <w:rsid w:val="005D00FE"/>
    <w:rsid w:val="005D3D5C"/>
    <w:rsid w:val="005F2E98"/>
    <w:rsid w:val="006107E7"/>
    <w:rsid w:val="00612D69"/>
    <w:rsid w:val="00614B3F"/>
    <w:rsid w:val="0063635F"/>
    <w:rsid w:val="006403EF"/>
    <w:rsid w:val="006439CA"/>
    <w:rsid w:val="0064617C"/>
    <w:rsid w:val="0066417B"/>
    <w:rsid w:val="00681D72"/>
    <w:rsid w:val="006A069A"/>
    <w:rsid w:val="006A07EE"/>
    <w:rsid w:val="006B01FC"/>
    <w:rsid w:val="006B6D26"/>
    <w:rsid w:val="006C3231"/>
    <w:rsid w:val="006C4ADF"/>
    <w:rsid w:val="006C5662"/>
    <w:rsid w:val="006C5B07"/>
    <w:rsid w:val="006D6820"/>
    <w:rsid w:val="006E0BE6"/>
    <w:rsid w:val="006E14E0"/>
    <w:rsid w:val="006E4D10"/>
    <w:rsid w:val="007011E2"/>
    <w:rsid w:val="007018E5"/>
    <w:rsid w:val="00732454"/>
    <w:rsid w:val="00746EF4"/>
    <w:rsid w:val="00747A49"/>
    <w:rsid w:val="00756175"/>
    <w:rsid w:val="007715A3"/>
    <w:rsid w:val="0079276E"/>
    <w:rsid w:val="0079502B"/>
    <w:rsid w:val="007A12EA"/>
    <w:rsid w:val="007A5249"/>
    <w:rsid w:val="007D5DD8"/>
    <w:rsid w:val="007F27E2"/>
    <w:rsid w:val="007F2C9C"/>
    <w:rsid w:val="00807CCD"/>
    <w:rsid w:val="008402BD"/>
    <w:rsid w:val="008443E3"/>
    <w:rsid w:val="0085140A"/>
    <w:rsid w:val="00851458"/>
    <w:rsid w:val="0085454E"/>
    <w:rsid w:val="00860757"/>
    <w:rsid w:val="00873B53"/>
    <w:rsid w:val="00874AA0"/>
    <w:rsid w:val="00881E9F"/>
    <w:rsid w:val="00882D33"/>
    <w:rsid w:val="00893842"/>
    <w:rsid w:val="008B5203"/>
    <w:rsid w:val="008D1C2D"/>
    <w:rsid w:val="008D1CF5"/>
    <w:rsid w:val="008D59BF"/>
    <w:rsid w:val="008D5C0C"/>
    <w:rsid w:val="008D63A4"/>
    <w:rsid w:val="008D74DD"/>
    <w:rsid w:val="008E22E8"/>
    <w:rsid w:val="008E61FD"/>
    <w:rsid w:val="008F70A9"/>
    <w:rsid w:val="009007EE"/>
    <w:rsid w:val="00914D8A"/>
    <w:rsid w:val="00930599"/>
    <w:rsid w:val="00942B28"/>
    <w:rsid w:val="009473D8"/>
    <w:rsid w:val="0095444F"/>
    <w:rsid w:val="00957F26"/>
    <w:rsid w:val="00961EFE"/>
    <w:rsid w:val="00963550"/>
    <w:rsid w:val="00965B19"/>
    <w:rsid w:val="00967C7F"/>
    <w:rsid w:val="00970FFF"/>
    <w:rsid w:val="0097658B"/>
    <w:rsid w:val="00992DBA"/>
    <w:rsid w:val="009A594E"/>
    <w:rsid w:val="009A7592"/>
    <w:rsid w:val="009B302B"/>
    <w:rsid w:val="009C2BC3"/>
    <w:rsid w:val="009C784D"/>
    <w:rsid w:val="009D18FA"/>
    <w:rsid w:val="009D7B4A"/>
    <w:rsid w:val="009E383C"/>
    <w:rsid w:val="009F3310"/>
    <w:rsid w:val="00A148DE"/>
    <w:rsid w:val="00A2298F"/>
    <w:rsid w:val="00A30EA6"/>
    <w:rsid w:val="00A36D38"/>
    <w:rsid w:val="00A40678"/>
    <w:rsid w:val="00A43E62"/>
    <w:rsid w:val="00A466CE"/>
    <w:rsid w:val="00A61901"/>
    <w:rsid w:val="00A70F83"/>
    <w:rsid w:val="00A71538"/>
    <w:rsid w:val="00A7223A"/>
    <w:rsid w:val="00A92F40"/>
    <w:rsid w:val="00A97223"/>
    <w:rsid w:val="00AB0307"/>
    <w:rsid w:val="00AB4107"/>
    <w:rsid w:val="00AD2B0C"/>
    <w:rsid w:val="00AD2B72"/>
    <w:rsid w:val="00AD5210"/>
    <w:rsid w:val="00AD5388"/>
    <w:rsid w:val="00AD7B4A"/>
    <w:rsid w:val="00AE26A9"/>
    <w:rsid w:val="00AE64D2"/>
    <w:rsid w:val="00B01231"/>
    <w:rsid w:val="00B135AB"/>
    <w:rsid w:val="00B44787"/>
    <w:rsid w:val="00B7287C"/>
    <w:rsid w:val="00B76007"/>
    <w:rsid w:val="00B864B8"/>
    <w:rsid w:val="00B9339B"/>
    <w:rsid w:val="00BA07E6"/>
    <w:rsid w:val="00BA11B0"/>
    <w:rsid w:val="00BA76ED"/>
    <w:rsid w:val="00BB3BD1"/>
    <w:rsid w:val="00BC35C9"/>
    <w:rsid w:val="00BC460C"/>
    <w:rsid w:val="00BD24EC"/>
    <w:rsid w:val="00BF539A"/>
    <w:rsid w:val="00BF66D5"/>
    <w:rsid w:val="00C070C4"/>
    <w:rsid w:val="00C14458"/>
    <w:rsid w:val="00C1578D"/>
    <w:rsid w:val="00C218E6"/>
    <w:rsid w:val="00C23E1F"/>
    <w:rsid w:val="00C24CEF"/>
    <w:rsid w:val="00C27E6A"/>
    <w:rsid w:val="00C303FB"/>
    <w:rsid w:val="00C36D8E"/>
    <w:rsid w:val="00C43EF7"/>
    <w:rsid w:val="00C61458"/>
    <w:rsid w:val="00C63D3E"/>
    <w:rsid w:val="00C67312"/>
    <w:rsid w:val="00C83F54"/>
    <w:rsid w:val="00C93B6F"/>
    <w:rsid w:val="00CB238D"/>
    <w:rsid w:val="00CD5E65"/>
    <w:rsid w:val="00CE3B2A"/>
    <w:rsid w:val="00CF6461"/>
    <w:rsid w:val="00D10C52"/>
    <w:rsid w:val="00D1468B"/>
    <w:rsid w:val="00D307EE"/>
    <w:rsid w:val="00D36931"/>
    <w:rsid w:val="00D463BB"/>
    <w:rsid w:val="00D63391"/>
    <w:rsid w:val="00D91428"/>
    <w:rsid w:val="00DA7C20"/>
    <w:rsid w:val="00DB0C05"/>
    <w:rsid w:val="00DB5393"/>
    <w:rsid w:val="00DE0B74"/>
    <w:rsid w:val="00DE0CC0"/>
    <w:rsid w:val="00DE199D"/>
    <w:rsid w:val="00DE658B"/>
    <w:rsid w:val="00DF281E"/>
    <w:rsid w:val="00E00E6D"/>
    <w:rsid w:val="00E14E36"/>
    <w:rsid w:val="00E1750F"/>
    <w:rsid w:val="00E420B8"/>
    <w:rsid w:val="00E4701C"/>
    <w:rsid w:val="00E50C72"/>
    <w:rsid w:val="00E564FB"/>
    <w:rsid w:val="00E636CD"/>
    <w:rsid w:val="00E73216"/>
    <w:rsid w:val="00E92EB4"/>
    <w:rsid w:val="00EA097D"/>
    <w:rsid w:val="00ED2EAC"/>
    <w:rsid w:val="00ED6169"/>
    <w:rsid w:val="00ED6F5B"/>
    <w:rsid w:val="00ED7998"/>
    <w:rsid w:val="00EE0E18"/>
    <w:rsid w:val="00EE5513"/>
    <w:rsid w:val="00EF755A"/>
    <w:rsid w:val="00F03819"/>
    <w:rsid w:val="00F17D3A"/>
    <w:rsid w:val="00F30A62"/>
    <w:rsid w:val="00F31770"/>
    <w:rsid w:val="00F40A5B"/>
    <w:rsid w:val="00F5056E"/>
    <w:rsid w:val="00F55BE3"/>
    <w:rsid w:val="00F60753"/>
    <w:rsid w:val="00F60DE1"/>
    <w:rsid w:val="00F63639"/>
    <w:rsid w:val="00F64B8F"/>
    <w:rsid w:val="00F70942"/>
    <w:rsid w:val="00F928CB"/>
    <w:rsid w:val="00FB6A61"/>
    <w:rsid w:val="00FC1ADE"/>
    <w:rsid w:val="00FD0C43"/>
    <w:rsid w:val="00FD3B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54396"/>
  <w15:docId w15:val="{441FEAB9-3962-4634-9443-10D4726F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B19"/>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character" w:customStyle="1" w:styleId="Mentionnonrsolue1">
    <w:name w:val="Mention non résolue1"/>
    <w:basedOn w:val="Policepardfaut"/>
    <w:uiPriority w:val="99"/>
    <w:semiHidden/>
    <w:unhideWhenUsed/>
    <w:rsid w:val="00080843"/>
    <w:rPr>
      <w:color w:val="605E5C"/>
      <w:shd w:val="clear" w:color="auto" w:fill="E1DFDD"/>
    </w:rPr>
  </w:style>
  <w:style w:type="paragraph" w:styleId="Textedebulles">
    <w:name w:val="Balloon Text"/>
    <w:basedOn w:val="Normal"/>
    <w:link w:val="TextedebullesCar"/>
    <w:uiPriority w:val="99"/>
    <w:semiHidden/>
    <w:unhideWhenUsed/>
    <w:rsid w:val="004274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74AA"/>
    <w:rPr>
      <w:rFonts w:ascii="Segoe UI" w:hAnsi="Segoe UI" w:cs="Segoe UI"/>
      <w:sz w:val="18"/>
      <w:szCs w:val="18"/>
      <w:lang w:val="fr-FR"/>
    </w:rPr>
  </w:style>
  <w:style w:type="character" w:styleId="Marquedecommentaire">
    <w:name w:val="annotation reference"/>
    <w:basedOn w:val="Policepardfaut"/>
    <w:uiPriority w:val="99"/>
    <w:semiHidden/>
    <w:unhideWhenUsed/>
    <w:rsid w:val="00BF66D5"/>
    <w:rPr>
      <w:sz w:val="16"/>
      <w:szCs w:val="16"/>
    </w:rPr>
  </w:style>
  <w:style w:type="paragraph" w:styleId="Commentaire">
    <w:name w:val="annotation text"/>
    <w:basedOn w:val="Normal"/>
    <w:link w:val="CommentaireCar"/>
    <w:uiPriority w:val="99"/>
    <w:unhideWhenUsed/>
    <w:rsid w:val="00BF66D5"/>
  </w:style>
  <w:style w:type="character" w:customStyle="1" w:styleId="CommentaireCar">
    <w:name w:val="Commentaire Car"/>
    <w:basedOn w:val="Policepardfaut"/>
    <w:link w:val="Commentaire"/>
    <w:uiPriority w:val="99"/>
    <w:rsid w:val="00BF66D5"/>
    <w:rPr>
      <w:lang w:val="fr-FR"/>
    </w:rPr>
  </w:style>
  <w:style w:type="paragraph" w:styleId="Objetducommentaire">
    <w:name w:val="annotation subject"/>
    <w:basedOn w:val="Commentaire"/>
    <w:next w:val="Commentaire"/>
    <w:link w:val="ObjetducommentaireCar"/>
    <w:uiPriority w:val="99"/>
    <w:semiHidden/>
    <w:unhideWhenUsed/>
    <w:rsid w:val="00BF66D5"/>
    <w:rPr>
      <w:b/>
      <w:bCs/>
    </w:rPr>
  </w:style>
  <w:style w:type="character" w:customStyle="1" w:styleId="ObjetducommentaireCar">
    <w:name w:val="Objet du commentaire Car"/>
    <w:basedOn w:val="CommentaireCar"/>
    <w:link w:val="Objetducommentaire"/>
    <w:uiPriority w:val="99"/>
    <w:semiHidden/>
    <w:rsid w:val="00BF66D5"/>
    <w:rPr>
      <w:b/>
      <w:bCs/>
      <w:lang w:val="fr-FR"/>
    </w:rPr>
  </w:style>
  <w:style w:type="paragraph" w:styleId="Notedebasdepage">
    <w:name w:val="footnote text"/>
    <w:basedOn w:val="Normal"/>
    <w:link w:val="NotedebasdepageCar"/>
    <w:uiPriority w:val="99"/>
    <w:semiHidden/>
    <w:unhideWhenUsed/>
    <w:rsid w:val="00BF66D5"/>
  </w:style>
  <w:style w:type="character" w:customStyle="1" w:styleId="NotedebasdepageCar">
    <w:name w:val="Note de bas de page Car"/>
    <w:basedOn w:val="Policepardfaut"/>
    <w:link w:val="Notedebasdepage"/>
    <w:uiPriority w:val="99"/>
    <w:semiHidden/>
    <w:rsid w:val="00BF66D5"/>
    <w:rPr>
      <w:lang w:val="fr-FR"/>
    </w:rPr>
  </w:style>
  <w:style w:type="character" w:styleId="Appelnotedebasdep">
    <w:name w:val="footnote reference"/>
    <w:basedOn w:val="Policepardfaut"/>
    <w:uiPriority w:val="99"/>
    <w:semiHidden/>
    <w:unhideWhenUsed/>
    <w:rsid w:val="00BF66D5"/>
    <w:rPr>
      <w:vertAlign w:val="superscript"/>
    </w:rPr>
  </w:style>
  <w:style w:type="paragraph" w:styleId="Rvision">
    <w:name w:val="Revision"/>
    <w:hidden/>
    <w:uiPriority w:val="99"/>
    <w:semiHidden/>
    <w:rsid w:val="00A70F83"/>
    <w:pPr>
      <w:widowControl/>
      <w:autoSpaceDE/>
      <w:autoSpaceDN/>
    </w:pPr>
    <w:rPr>
      <w:lang w:val="fr-FR"/>
    </w:rPr>
  </w:style>
  <w:style w:type="character" w:styleId="lev">
    <w:name w:val="Strong"/>
    <w:basedOn w:val="Policepardfaut"/>
    <w:uiPriority w:val="22"/>
    <w:qFormat/>
    <w:rsid w:val="006C5662"/>
    <w:rPr>
      <w:b/>
      <w:bCs/>
    </w:rPr>
  </w:style>
  <w:style w:type="character" w:styleId="Textedelespacerserv">
    <w:name w:val="Placeholder Text"/>
    <w:basedOn w:val="Policepardfaut"/>
    <w:uiPriority w:val="99"/>
    <w:semiHidden/>
    <w:rsid w:val="006C5662"/>
    <w:rPr>
      <w:color w:val="808080"/>
    </w:rPr>
  </w:style>
  <w:style w:type="character" w:styleId="Lienhypertextesuivivisit">
    <w:name w:val="FollowedHyperlink"/>
    <w:basedOn w:val="Policepardfaut"/>
    <w:uiPriority w:val="99"/>
    <w:semiHidden/>
    <w:unhideWhenUsed/>
    <w:rsid w:val="00BC35C9"/>
    <w:rPr>
      <w:color w:val="5770BE" w:themeColor="followedHyperlink"/>
      <w:u w:val="single"/>
    </w:rPr>
  </w:style>
  <w:style w:type="paragraph" w:customStyle="1" w:styleId="Default">
    <w:name w:val="Default"/>
    <w:basedOn w:val="Normal"/>
    <w:rsid w:val="00746EF4"/>
    <w:pPr>
      <w:widowControl/>
    </w:pPr>
    <w:rPr>
      <w:color w:val="000000"/>
      <w:sz w:val="24"/>
      <w:szCs w:val="24"/>
      <w:lang w:eastAsia="fr-FR"/>
    </w:rPr>
  </w:style>
  <w:style w:type="character" w:styleId="Accentuation">
    <w:name w:val="Emphasis"/>
    <w:basedOn w:val="Policepardfaut"/>
    <w:uiPriority w:val="20"/>
    <w:qFormat/>
    <w:rsid w:val="000C4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55">
      <w:bodyDiv w:val="1"/>
      <w:marLeft w:val="0"/>
      <w:marRight w:val="0"/>
      <w:marTop w:val="0"/>
      <w:marBottom w:val="0"/>
      <w:divBdr>
        <w:top w:val="none" w:sz="0" w:space="0" w:color="auto"/>
        <w:left w:val="none" w:sz="0" w:space="0" w:color="auto"/>
        <w:bottom w:val="none" w:sz="0" w:space="0" w:color="auto"/>
        <w:right w:val="none" w:sz="0" w:space="0" w:color="auto"/>
      </w:divBdr>
    </w:div>
    <w:div w:id="575675134">
      <w:bodyDiv w:val="1"/>
      <w:marLeft w:val="0"/>
      <w:marRight w:val="0"/>
      <w:marTop w:val="0"/>
      <w:marBottom w:val="0"/>
      <w:divBdr>
        <w:top w:val="none" w:sz="0" w:space="0" w:color="auto"/>
        <w:left w:val="none" w:sz="0" w:space="0" w:color="auto"/>
        <w:bottom w:val="none" w:sz="0" w:space="0" w:color="auto"/>
        <w:right w:val="none" w:sz="0" w:space="0" w:color="auto"/>
      </w:divBdr>
    </w:div>
    <w:div w:id="849761175">
      <w:bodyDiv w:val="1"/>
      <w:marLeft w:val="0"/>
      <w:marRight w:val="0"/>
      <w:marTop w:val="0"/>
      <w:marBottom w:val="0"/>
      <w:divBdr>
        <w:top w:val="none" w:sz="0" w:space="0" w:color="auto"/>
        <w:left w:val="none" w:sz="0" w:space="0" w:color="auto"/>
        <w:bottom w:val="none" w:sz="0" w:space="0" w:color="auto"/>
        <w:right w:val="none" w:sz="0" w:space="0" w:color="auto"/>
      </w:divBdr>
    </w:div>
    <w:div w:id="1069226678">
      <w:bodyDiv w:val="1"/>
      <w:marLeft w:val="0"/>
      <w:marRight w:val="0"/>
      <w:marTop w:val="0"/>
      <w:marBottom w:val="0"/>
      <w:divBdr>
        <w:top w:val="none" w:sz="0" w:space="0" w:color="auto"/>
        <w:left w:val="none" w:sz="0" w:space="0" w:color="auto"/>
        <w:bottom w:val="none" w:sz="0" w:space="0" w:color="auto"/>
        <w:right w:val="none" w:sz="0" w:space="0" w:color="auto"/>
      </w:divBdr>
    </w:div>
    <w:div w:id="1416243613">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658459077">
      <w:bodyDiv w:val="1"/>
      <w:marLeft w:val="0"/>
      <w:marRight w:val="0"/>
      <w:marTop w:val="0"/>
      <w:marBottom w:val="0"/>
      <w:divBdr>
        <w:top w:val="none" w:sz="0" w:space="0" w:color="auto"/>
        <w:left w:val="none" w:sz="0" w:space="0" w:color="auto"/>
        <w:bottom w:val="none" w:sz="0" w:space="0" w:color="auto"/>
        <w:right w:val="none" w:sz="0" w:space="0" w:color="auto"/>
      </w:divBdr>
    </w:div>
    <w:div w:id="1912353203">
      <w:bodyDiv w:val="1"/>
      <w:marLeft w:val="0"/>
      <w:marRight w:val="0"/>
      <w:marTop w:val="0"/>
      <w:marBottom w:val="0"/>
      <w:divBdr>
        <w:top w:val="none" w:sz="0" w:space="0" w:color="auto"/>
        <w:left w:val="none" w:sz="0" w:space="0" w:color="auto"/>
        <w:bottom w:val="none" w:sz="0" w:space="0" w:color="auto"/>
        <w:right w:val="none" w:sz="0" w:space="0" w:color="auto"/>
      </w:divBdr>
    </w:div>
    <w:div w:id="1950239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c.presse.insertion@cab.travail.gouv.f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85DD.7F4281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685DD.7F4281E0"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14E3-00E9-4746-958E-3515A39B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569</Words>
  <Characters>3134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DE MARNIX, Paul (CAB/INSERTION)</dc:creator>
  <cp:lastModifiedBy>DE MARNIX, Paul (CAB/INSERTION)</cp:lastModifiedBy>
  <cp:revision>3</cp:revision>
  <cp:lastPrinted>2021-03-15T16:58:00Z</cp:lastPrinted>
  <dcterms:created xsi:type="dcterms:W3CDTF">2021-03-16T18:54:00Z</dcterms:created>
  <dcterms:modified xsi:type="dcterms:W3CDTF">2021-03-17T09:41:00Z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