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CC09EB" w:rsidRPr="00EF011F" w:rsidRDefault="001B0571" w:rsidP="00CC09EB">
      <w:pPr>
        <w:jc w:val="center"/>
        <w:rPr>
          <w:b/>
          <w:sz w:val="32"/>
          <w:szCs w:val="32"/>
        </w:rPr>
      </w:pPr>
      <w:r>
        <w:rPr>
          <w:b/>
          <w:sz w:val="32"/>
          <w:szCs w:val="32"/>
        </w:rPr>
        <w:t xml:space="preserve">Vendeurs </w:t>
      </w:r>
      <w:r w:rsidR="009F056E">
        <w:rPr>
          <w:b/>
          <w:sz w:val="32"/>
          <w:szCs w:val="32"/>
        </w:rPr>
        <w:t xml:space="preserve">polyvalents </w:t>
      </w:r>
      <w:r>
        <w:rPr>
          <w:b/>
          <w:sz w:val="32"/>
          <w:szCs w:val="32"/>
        </w:rPr>
        <w:t>gran</w:t>
      </w:r>
      <w:r w:rsidR="00036BCB">
        <w:rPr>
          <w:b/>
          <w:sz w:val="32"/>
          <w:szCs w:val="32"/>
        </w:rPr>
        <w:t>d</w:t>
      </w:r>
      <w:r>
        <w:rPr>
          <w:b/>
          <w:sz w:val="32"/>
          <w:szCs w:val="32"/>
        </w:rPr>
        <w:t>s magasins</w:t>
      </w:r>
    </w:p>
    <w:tbl>
      <w:tblPr>
        <w:tblStyle w:val="Grilledutableau"/>
        <w:tblW w:w="15370" w:type="dxa"/>
        <w:tblLook w:val="04A0" w:firstRow="1" w:lastRow="0" w:firstColumn="1" w:lastColumn="0" w:noHBand="0" w:noVBand="1"/>
      </w:tblPr>
      <w:tblGrid>
        <w:gridCol w:w="9212"/>
        <w:gridCol w:w="6158"/>
      </w:tblGrid>
      <w:tr w:rsidR="00B20DA3" w:rsidTr="00553A2B">
        <w:trPr>
          <w:gridAfter w:val="1"/>
        </w:trPr>
        <w:tc>
          <w:tcPr>
            <w:tcW w:w="9212" w:type="dxa"/>
            <w:shd w:val="clear" w:color="auto" w:fill="92D050"/>
          </w:tcPr>
          <w:p w:rsidR="00B20DA3" w:rsidRPr="009F056E" w:rsidRDefault="009F056E" w:rsidP="00505949">
            <w:pPr>
              <w:jc w:val="center"/>
              <w:rPr>
                <w:b/>
              </w:rPr>
            </w:pPr>
            <w:r w:rsidRPr="009F056E">
              <w:rPr>
                <w:b/>
              </w:rPr>
              <w:t>N</w:t>
            </w:r>
            <w:r w:rsidR="00B20DA3" w:rsidRPr="009F056E">
              <w:rPr>
                <w:b/>
              </w:rPr>
              <w:t xml:space="preserve">omenclature </w:t>
            </w:r>
            <w:r w:rsidR="00505949" w:rsidRPr="009F056E">
              <w:rPr>
                <w:b/>
              </w:rPr>
              <w:t>PCS</w:t>
            </w:r>
            <w:r w:rsidR="00B20DA3" w:rsidRPr="009F056E">
              <w:rPr>
                <w:b/>
              </w:rPr>
              <w:t xml:space="preserve"> ESE</w:t>
            </w:r>
          </w:p>
        </w:tc>
      </w:tr>
      <w:tr w:rsidR="00553A2B" w:rsidRPr="00B20DA3" w:rsidTr="00553A2B">
        <w:tc>
          <w:tcPr>
            <w:tcW w:w="9212" w:type="dxa"/>
            <w:vAlign w:val="center"/>
          </w:tcPr>
          <w:p w:rsidR="00553A2B" w:rsidRPr="009F056E" w:rsidRDefault="009F056E" w:rsidP="001B0571">
            <w:pPr>
              <w:pStyle w:val="Paragraphedeliste"/>
              <w:numPr>
                <w:ilvl w:val="0"/>
                <w:numId w:val="31"/>
              </w:numPr>
              <w:rPr>
                <w:rFonts w:ascii="Times New Roman" w:eastAsia="Times New Roman" w:hAnsi="Times New Roman" w:cs="Times New Roman"/>
                <w:lang w:eastAsia="fr-FR"/>
              </w:rPr>
            </w:pPr>
            <w:r w:rsidRPr="009F056E">
              <w:rPr>
                <w:rFonts w:ascii="Times New Roman" w:eastAsia="Times New Roman" w:hAnsi="Times New Roman" w:cs="Times New Roman"/>
                <w:lang w:eastAsia="fr-FR"/>
              </w:rPr>
              <w:t xml:space="preserve">PCS ESE </w:t>
            </w:r>
            <w:r w:rsidR="001B0571" w:rsidRPr="009F056E">
              <w:rPr>
                <w:rFonts w:ascii="Times New Roman" w:eastAsia="Times New Roman" w:hAnsi="Times New Roman" w:cs="Times New Roman"/>
                <w:lang w:eastAsia="fr-FR"/>
              </w:rPr>
              <w:t>553b : Vendeurs polyvalents des grands magasins.</w:t>
            </w:r>
          </w:p>
        </w:tc>
        <w:tc>
          <w:tcPr>
            <w:tcW w:w="0" w:type="auto"/>
            <w:vAlign w:val="center"/>
          </w:tcPr>
          <w:p w:rsidR="00553A2B" w:rsidRPr="00871584" w:rsidRDefault="00553A2B" w:rsidP="00C3506C">
            <w:pPr>
              <w:jc w:val="center"/>
              <w:rPr>
                <w:rFonts w:ascii="Times New Roman" w:eastAsia="Times New Roman" w:hAnsi="Times New Roman" w:cs="Times New Roman"/>
                <w:sz w:val="24"/>
                <w:szCs w:val="24"/>
                <w:lang w:eastAsia="fr-FR"/>
              </w:rPr>
            </w:pPr>
          </w:p>
        </w:tc>
      </w:tr>
      <w:tr w:rsidR="002E03E6" w:rsidRPr="00B20DA3" w:rsidTr="002E03E6">
        <w:tc>
          <w:tcPr>
            <w:tcW w:w="9212" w:type="dxa"/>
            <w:shd w:val="clear" w:color="auto" w:fill="92D050"/>
            <w:vAlign w:val="center"/>
          </w:tcPr>
          <w:p w:rsidR="002E03E6" w:rsidRPr="009F056E" w:rsidRDefault="002E03E6" w:rsidP="002E03E6">
            <w:pPr>
              <w:pStyle w:val="Paragraphedeliste"/>
              <w:jc w:val="center"/>
              <w:rPr>
                <w:rFonts w:ascii="Times New Roman" w:eastAsia="Times New Roman" w:hAnsi="Times New Roman" w:cs="Times New Roman"/>
                <w:lang w:eastAsia="fr-FR"/>
              </w:rPr>
            </w:pPr>
            <w:r w:rsidRPr="009F056E">
              <w:rPr>
                <w:rFonts w:ascii="Times New Roman" w:eastAsia="Times New Roman" w:hAnsi="Times New Roman" w:cs="Times New Roman"/>
                <w:b/>
                <w:lang w:eastAsia="fr-FR"/>
              </w:rPr>
              <w:t>Nombre de TH employés sur des emplois ECAP (2017)</w:t>
            </w:r>
          </w:p>
        </w:tc>
        <w:tc>
          <w:tcPr>
            <w:tcW w:w="0" w:type="auto"/>
            <w:vAlign w:val="center"/>
          </w:tcPr>
          <w:p w:rsidR="002E03E6" w:rsidRPr="00871584" w:rsidRDefault="002E03E6" w:rsidP="00C3506C">
            <w:pPr>
              <w:jc w:val="center"/>
              <w:rPr>
                <w:rFonts w:ascii="Times New Roman" w:eastAsia="Times New Roman" w:hAnsi="Times New Roman" w:cs="Times New Roman"/>
                <w:sz w:val="24"/>
                <w:szCs w:val="24"/>
                <w:lang w:eastAsia="fr-FR"/>
              </w:rPr>
            </w:pPr>
          </w:p>
        </w:tc>
      </w:tr>
      <w:tr w:rsidR="002E03E6" w:rsidRPr="00B20DA3" w:rsidTr="00553A2B">
        <w:tc>
          <w:tcPr>
            <w:tcW w:w="9212" w:type="dxa"/>
            <w:vAlign w:val="center"/>
          </w:tcPr>
          <w:p w:rsidR="002E03E6" w:rsidRPr="009F056E" w:rsidRDefault="002E03E6" w:rsidP="00505949">
            <w:pPr>
              <w:pStyle w:val="Paragraphedeliste"/>
              <w:numPr>
                <w:ilvl w:val="0"/>
                <w:numId w:val="31"/>
              </w:numPr>
              <w:rPr>
                <w:rFonts w:ascii="Times New Roman" w:eastAsia="Times New Roman" w:hAnsi="Times New Roman" w:cs="Times New Roman"/>
                <w:lang w:eastAsia="fr-FR"/>
              </w:rPr>
            </w:pPr>
            <w:r w:rsidRPr="009F056E">
              <w:rPr>
                <w:rFonts w:ascii="Times New Roman" w:eastAsia="Times New Roman" w:hAnsi="Times New Roman" w:cs="Times New Roman"/>
                <w:lang w:eastAsia="fr-FR"/>
              </w:rPr>
              <w:t>1299</w:t>
            </w:r>
          </w:p>
        </w:tc>
        <w:tc>
          <w:tcPr>
            <w:tcW w:w="0" w:type="auto"/>
            <w:vAlign w:val="center"/>
          </w:tcPr>
          <w:p w:rsidR="002E03E6" w:rsidRPr="00871584" w:rsidRDefault="002E03E6" w:rsidP="00C3506C">
            <w:pPr>
              <w:jc w:val="center"/>
              <w:rPr>
                <w:rFonts w:ascii="Times New Roman" w:eastAsia="Times New Roman" w:hAnsi="Times New Roman" w:cs="Times New Roman"/>
                <w:sz w:val="24"/>
                <w:szCs w:val="24"/>
                <w:lang w:eastAsia="fr-FR"/>
              </w:rPr>
            </w:pPr>
          </w:p>
        </w:tc>
      </w:tr>
      <w:tr w:rsidR="009F056E" w:rsidTr="00553A2B">
        <w:trPr>
          <w:gridAfter w:val="1"/>
        </w:trPr>
        <w:tc>
          <w:tcPr>
            <w:tcW w:w="9212" w:type="dxa"/>
            <w:shd w:val="clear" w:color="auto" w:fill="92D050"/>
          </w:tcPr>
          <w:p w:rsidR="009F056E" w:rsidRPr="009F056E" w:rsidRDefault="009F056E" w:rsidP="00BA5332">
            <w:pPr>
              <w:jc w:val="center"/>
              <w:rPr>
                <w:b/>
              </w:rPr>
            </w:pPr>
            <w:r>
              <w:rPr>
                <w:b/>
              </w:rPr>
              <w:t>Convention collective</w:t>
            </w:r>
          </w:p>
        </w:tc>
      </w:tr>
      <w:tr w:rsidR="009F056E" w:rsidTr="009F056E">
        <w:trPr>
          <w:gridAfter w:val="1"/>
        </w:trPr>
        <w:tc>
          <w:tcPr>
            <w:tcW w:w="9212" w:type="dxa"/>
            <w:shd w:val="clear" w:color="auto" w:fill="auto"/>
          </w:tcPr>
          <w:p w:rsidR="009F056E" w:rsidRPr="009F056E" w:rsidRDefault="009F056E" w:rsidP="009F056E">
            <w:pPr>
              <w:pStyle w:val="Paragraphedeliste"/>
              <w:numPr>
                <w:ilvl w:val="0"/>
                <w:numId w:val="31"/>
              </w:numPr>
              <w:rPr>
                <w:rFonts w:ascii="Times New Roman" w:hAnsi="Times New Roman" w:cs="Times New Roman"/>
              </w:rPr>
            </w:pPr>
            <w:r w:rsidRPr="009F056E">
              <w:rPr>
                <w:rFonts w:ascii="Times New Roman" w:hAnsi="Times New Roman" w:cs="Times New Roman"/>
              </w:rPr>
              <w:t>Convention collective nationale des grand</w:t>
            </w:r>
            <w:r w:rsidR="00A422E7">
              <w:rPr>
                <w:rFonts w:ascii="Times New Roman" w:hAnsi="Times New Roman" w:cs="Times New Roman"/>
              </w:rPr>
              <w:t>s</w:t>
            </w:r>
            <w:r w:rsidRPr="009F056E">
              <w:rPr>
                <w:rFonts w:ascii="Times New Roman" w:hAnsi="Times New Roman" w:cs="Times New Roman"/>
              </w:rPr>
              <w:t xml:space="preserve"> magasins et des magasins populaires</w:t>
            </w:r>
            <w:r>
              <w:rPr>
                <w:rFonts w:ascii="Times New Roman" w:hAnsi="Times New Roman" w:cs="Times New Roman"/>
              </w:rPr>
              <w:t xml:space="preserve"> (IDCC 2156)</w:t>
            </w:r>
          </w:p>
        </w:tc>
      </w:tr>
      <w:tr w:rsidR="00553A2B" w:rsidTr="00553A2B">
        <w:trPr>
          <w:gridAfter w:val="1"/>
        </w:trPr>
        <w:tc>
          <w:tcPr>
            <w:tcW w:w="9212" w:type="dxa"/>
            <w:shd w:val="clear" w:color="auto" w:fill="92D050"/>
          </w:tcPr>
          <w:p w:rsidR="00553A2B" w:rsidRPr="009F056E" w:rsidRDefault="00553A2B" w:rsidP="00BA5332">
            <w:pPr>
              <w:jc w:val="center"/>
              <w:rPr>
                <w:b/>
              </w:rPr>
            </w:pPr>
            <w:r w:rsidRPr="009F056E">
              <w:rPr>
                <w:b/>
              </w:rPr>
              <w:t>Conditions particulières d’accès à l’emploi</w:t>
            </w:r>
          </w:p>
        </w:tc>
      </w:tr>
      <w:tr w:rsidR="00553A2B" w:rsidTr="00553A2B">
        <w:trPr>
          <w:gridAfter w:val="1"/>
        </w:trPr>
        <w:tc>
          <w:tcPr>
            <w:tcW w:w="9212" w:type="dxa"/>
          </w:tcPr>
          <w:tbl>
            <w:tblPr>
              <w:tblW w:w="0" w:type="auto"/>
              <w:tblBorders>
                <w:top w:val="nil"/>
                <w:left w:val="nil"/>
                <w:bottom w:val="nil"/>
                <w:right w:val="nil"/>
              </w:tblBorders>
              <w:tblLook w:val="0000" w:firstRow="0" w:lastRow="0" w:firstColumn="0" w:lastColumn="0" w:noHBand="0" w:noVBand="0"/>
            </w:tblPr>
            <w:tblGrid>
              <w:gridCol w:w="4296"/>
            </w:tblGrid>
            <w:tr w:rsidR="00553A2B" w:rsidRPr="009F056E">
              <w:tc>
                <w:tcPr>
                  <w:tcW w:w="0" w:type="auto"/>
                </w:tcPr>
                <w:p w:rsidR="00553A2B" w:rsidRPr="009F056E" w:rsidRDefault="00DE1253" w:rsidP="00DE1253">
                  <w:pPr>
                    <w:pStyle w:val="Paragraphedeliste"/>
                    <w:numPr>
                      <w:ilvl w:val="0"/>
                      <w:numId w:val="31"/>
                    </w:numPr>
                    <w:autoSpaceDE w:val="0"/>
                    <w:autoSpaceDN w:val="0"/>
                    <w:adjustRightInd w:val="0"/>
                    <w:spacing w:after="0" w:line="240" w:lineRule="auto"/>
                    <w:rPr>
                      <w:rFonts w:ascii="Times New Roman" w:hAnsi="Times New Roman" w:cs="Times New Roman"/>
                    </w:rPr>
                  </w:pPr>
                  <w:r w:rsidRPr="009F056E">
                    <w:rPr>
                      <w:rFonts w:ascii="Times New Roman" w:hAnsi="Times New Roman" w:cs="Times New Roman"/>
                    </w:rPr>
                    <w:t>Pas de</w:t>
                  </w:r>
                  <w:r w:rsidR="00EB5339" w:rsidRPr="009F056E">
                    <w:rPr>
                      <w:rFonts w:ascii="Times New Roman" w:hAnsi="Times New Roman" w:cs="Times New Roman"/>
                    </w:rPr>
                    <w:t xml:space="preserve"> réglementation particulière</w:t>
                  </w:r>
                </w:p>
              </w:tc>
            </w:tr>
          </w:tbl>
          <w:p w:rsidR="00553A2B" w:rsidRPr="009F056E" w:rsidRDefault="00553A2B" w:rsidP="004F66EB">
            <w:pPr>
              <w:rPr>
                <w:b/>
              </w:rPr>
            </w:pPr>
          </w:p>
        </w:tc>
      </w:tr>
      <w:tr w:rsidR="00553A2B" w:rsidTr="00553A2B">
        <w:trPr>
          <w:gridAfter w:val="1"/>
        </w:trPr>
        <w:tc>
          <w:tcPr>
            <w:tcW w:w="9212" w:type="dxa"/>
            <w:shd w:val="clear" w:color="auto" w:fill="92D050"/>
          </w:tcPr>
          <w:p w:rsidR="00553A2B" w:rsidRPr="009F056E" w:rsidRDefault="00553A2B" w:rsidP="00B11058">
            <w:pPr>
              <w:jc w:val="center"/>
              <w:rPr>
                <w:b/>
              </w:rPr>
            </w:pPr>
            <w:r w:rsidRPr="009F056E">
              <w:rPr>
                <w:b/>
              </w:rPr>
              <w:t>Description de l’activité</w:t>
            </w:r>
            <w:r w:rsidR="00BC4F8C" w:rsidRPr="009F056E">
              <w:rPr>
                <w:b/>
              </w:rPr>
              <w:t xml:space="preserve"> </w:t>
            </w:r>
            <w:r w:rsidR="00BC4F8C" w:rsidRPr="009F056E">
              <w:rPr>
                <w:rStyle w:val="Appelnotedebasdep"/>
                <w:b/>
              </w:rPr>
              <w:footnoteReference w:id="1"/>
            </w:r>
          </w:p>
        </w:tc>
      </w:tr>
      <w:tr w:rsidR="00553A2B" w:rsidTr="00553A2B">
        <w:trPr>
          <w:gridAfter w:val="1"/>
        </w:trPr>
        <w:tc>
          <w:tcPr>
            <w:tcW w:w="9212" w:type="dxa"/>
          </w:tcPr>
          <w:p w:rsidR="002B583F" w:rsidRPr="009F056E" w:rsidRDefault="002B583F" w:rsidP="002B583F">
            <w:pPr>
              <w:pStyle w:val="Textbody"/>
              <w:numPr>
                <w:ilvl w:val="0"/>
                <w:numId w:val="30"/>
              </w:numPr>
              <w:rPr>
                <w:rFonts w:ascii="Times New Roman" w:hAnsi="Times New Roman" w:cs="Times New Roman"/>
                <w:sz w:val="22"/>
                <w:szCs w:val="22"/>
              </w:rPr>
            </w:pPr>
            <w:r w:rsidRPr="009F056E">
              <w:rPr>
                <w:rFonts w:ascii="Times New Roman" w:hAnsi="Times New Roman" w:cs="Times New Roman"/>
                <w:sz w:val="22"/>
                <w:szCs w:val="22"/>
              </w:rPr>
              <w:t>Salariés chargés de la vente dans les grands magasins. Ils peuvent assurer des opérations administratives simples se rapportant à ces travaux. Cette rubrique est exclusivement réservée aux personnels classés " employés " dans les conventions collectives des grands magasins et n'ayant pu être classés ailleurs.</w:t>
            </w:r>
          </w:p>
          <w:p w:rsidR="002B583F" w:rsidRPr="009F056E" w:rsidRDefault="002B583F" w:rsidP="007A540A">
            <w:pPr>
              <w:pStyle w:val="Textbody"/>
              <w:numPr>
                <w:ilvl w:val="0"/>
                <w:numId w:val="30"/>
              </w:numPr>
              <w:rPr>
                <w:rFonts w:ascii="Times New Roman" w:hAnsi="Times New Roman" w:cs="Times New Roman"/>
                <w:sz w:val="22"/>
                <w:szCs w:val="22"/>
              </w:rPr>
            </w:pPr>
            <w:r w:rsidRPr="009F056E">
              <w:rPr>
                <w:rFonts w:ascii="Times New Roman" w:hAnsi="Times New Roman" w:cs="Times New Roman"/>
                <w:sz w:val="22"/>
                <w:szCs w:val="22"/>
              </w:rPr>
              <w:t>Classification CCN</w:t>
            </w:r>
            <w:r w:rsidR="0073530F">
              <w:rPr>
                <w:rFonts w:ascii="Times New Roman" w:hAnsi="Times New Roman" w:cs="Times New Roman"/>
                <w:sz w:val="22"/>
                <w:szCs w:val="22"/>
              </w:rPr>
              <w:t> :</w:t>
            </w:r>
          </w:p>
          <w:p w:rsidR="007A540A" w:rsidRPr="009F056E" w:rsidRDefault="007A540A" w:rsidP="002B583F">
            <w:pPr>
              <w:pStyle w:val="Textbody"/>
              <w:numPr>
                <w:ilvl w:val="1"/>
                <w:numId w:val="30"/>
              </w:numPr>
              <w:rPr>
                <w:rFonts w:ascii="Times New Roman" w:hAnsi="Times New Roman" w:cs="Times New Roman"/>
                <w:sz w:val="22"/>
                <w:szCs w:val="22"/>
              </w:rPr>
            </w:pPr>
            <w:r w:rsidRPr="009F056E">
              <w:rPr>
                <w:rFonts w:ascii="Times New Roman" w:hAnsi="Times New Roman" w:cs="Times New Roman"/>
                <w:sz w:val="22"/>
                <w:szCs w:val="22"/>
              </w:rPr>
              <w:t>Employé niveau II (Emplois repères : vendeur (</w:t>
            </w:r>
            <w:proofErr w:type="spellStart"/>
            <w:r w:rsidRPr="009F056E">
              <w:rPr>
                <w:rFonts w:ascii="Times New Roman" w:hAnsi="Times New Roman" w:cs="Times New Roman"/>
                <w:sz w:val="22"/>
                <w:szCs w:val="22"/>
              </w:rPr>
              <w:t>euse</w:t>
            </w:r>
            <w:proofErr w:type="spellEnd"/>
            <w:r w:rsidRPr="009F056E">
              <w:rPr>
                <w:rFonts w:ascii="Times New Roman" w:hAnsi="Times New Roman" w:cs="Times New Roman"/>
                <w:sz w:val="22"/>
                <w:szCs w:val="22"/>
              </w:rPr>
              <w:t xml:space="preserve">), </w:t>
            </w:r>
            <w:proofErr w:type="gramStart"/>
            <w:r w:rsidRPr="009F056E">
              <w:rPr>
                <w:rFonts w:ascii="Times New Roman" w:hAnsi="Times New Roman" w:cs="Times New Roman"/>
                <w:sz w:val="22"/>
                <w:szCs w:val="22"/>
              </w:rPr>
              <w:t>caissier(</w:t>
            </w:r>
            <w:proofErr w:type="spellStart"/>
            <w:proofErr w:type="gramEnd"/>
            <w:r w:rsidRPr="009F056E">
              <w:rPr>
                <w:rFonts w:ascii="Times New Roman" w:hAnsi="Times New Roman" w:cs="Times New Roman"/>
                <w:sz w:val="22"/>
                <w:szCs w:val="22"/>
              </w:rPr>
              <w:t>ière</w:t>
            </w:r>
            <w:proofErr w:type="spellEnd"/>
            <w:r w:rsidRPr="009F056E">
              <w:rPr>
                <w:rFonts w:ascii="Times New Roman" w:hAnsi="Times New Roman" w:cs="Times New Roman"/>
                <w:sz w:val="22"/>
                <w:szCs w:val="22"/>
              </w:rPr>
              <w:t>) : niveau 1er cycle de l'enseignement technique (CAP, BEP) ou équivalent en expérience professionnelle éventuellement validé) : exécution de tâches simples mais diverses. travail à effectuer défini par des instructions précises et détaillées</w:t>
            </w:r>
          </w:p>
          <w:p w:rsidR="00553A2B" w:rsidRDefault="007A540A" w:rsidP="002B583F">
            <w:pPr>
              <w:pStyle w:val="Paragraphedeliste"/>
              <w:numPr>
                <w:ilvl w:val="1"/>
                <w:numId w:val="30"/>
              </w:numPr>
              <w:tabs>
                <w:tab w:val="left" w:pos="910"/>
              </w:tabs>
              <w:spacing w:before="100" w:beforeAutospacing="1" w:after="100" w:afterAutospacing="1"/>
              <w:rPr>
                <w:rFonts w:ascii="Times New Roman" w:hAnsi="Times New Roman" w:cs="Times New Roman"/>
              </w:rPr>
            </w:pPr>
            <w:r w:rsidRPr="009F056E">
              <w:rPr>
                <w:rFonts w:ascii="Times New Roman" w:hAnsi="Times New Roman" w:cs="Times New Roman"/>
              </w:rPr>
              <w:t>Maitrise niveau V (Emplois repères : responsable de vente, gestionnaire de produits niveau d'études supérieures de type bac + 2, en rapport avec l'emploi, ou équivalent en expérience professionnelle éventuellement validé) : organisation et animation d'équipes, initiation du personnel aux procédures et méthodes à appliquer ; nécessite des capacités d'organisation</w:t>
            </w:r>
          </w:p>
          <w:p w:rsidR="0073530F" w:rsidRDefault="009F056E" w:rsidP="009F056E">
            <w:pPr>
              <w:pStyle w:val="Paragraphedeliste"/>
              <w:numPr>
                <w:ilvl w:val="0"/>
                <w:numId w:val="30"/>
              </w:numPr>
              <w:tabs>
                <w:tab w:val="left" w:pos="910"/>
              </w:tabs>
              <w:spacing w:before="100" w:beforeAutospacing="1" w:after="100" w:afterAutospacing="1"/>
              <w:rPr>
                <w:rFonts w:ascii="Times New Roman" w:hAnsi="Times New Roman" w:cs="Times New Roman"/>
              </w:rPr>
            </w:pPr>
            <w:r w:rsidRPr="0073530F">
              <w:rPr>
                <w:rFonts w:ascii="Times New Roman" w:hAnsi="Times New Roman" w:cs="Times New Roman"/>
                <w:b/>
              </w:rPr>
              <w:t>Référentiel d’emploi</w:t>
            </w:r>
            <w:r w:rsidR="0073530F">
              <w:rPr>
                <w:rStyle w:val="Appelnotedebasdep"/>
                <w:rFonts w:ascii="Times New Roman" w:hAnsi="Times New Roman" w:cs="Times New Roman"/>
                <w:b/>
              </w:rPr>
              <w:footnoteReference w:id="2"/>
            </w:r>
            <w:r w:rsidRPr="0073530F">
              <w:rPr>
                <w:rFonts w:ascii="Times New Roman" w:hAnsi="Times New Roman" w:cs="Times New Roman"/>
              </w:rPr>
              <w:t> : L’employé(e) de vente polyvalent(e) en magasin » assure au quotidien les différentes fonctions suivantes:</w:t>
            </w:r>
            <w:r w:rsidR="0073530F" w:rsidRPr="0073530F">
              <w:rPr>
                <w:rFonts w:ascii="Times New Roman" w:hAnsi="Times New Roman" w:cs="Times New Roman"/>
              </w:rPr>
              <w:t xml:space="preserve"> </w:t>
            </w:r>
            <w:r w:rsidRPr="0073530F">
              <w:rPr>
                <w:rFonts w:ascii="Times New Roman" w:hAnsi="Times New Roman" w:cs="Times New Roman"/>
              </w:rPr>
              <w:t>Réassortiment des rayons,</w:t>
            </w:r>
            <w:r w:rsidR="0073530F" w:rsidRPr="0073530F">
              <w:rPr>
                <w:rFonts w:ascii="Times New Roman" w:hAnsi="Times New Roman" w:cs="Times New Roman"/>
              </w:rPr>
              <w:t xml:space="preserve"> p</w:t>
            </w:r>
            <w:r w:rsidRPr="0073530F">
              <w:rPr>
                <w:rFonts w:ascii="Times New Roman" w:hAnsi="Times New Roman" w:cs="Times New Roman"/>
              </w:rPr>
              <w:t>assation de commandes,</w:t>
            </w:r>
            <w:r w:rsidR="0073530F" w:rsidRPr="0073530F">
              <w:rPr>
                <w:rFonts w:ascii="Times New Roman" w:hAnsi="Times New Roman" w:cs="Times New Roman"/>
              </w:rPr>
              <w:t xml:space="preserve"> é</w:t>
            </w:r>
            <w:r w:rsidRPr="0073530F">
              <w:rPr>
                <w:rFonts w:ascii="Times New Roman" w:hAnsi="Times New Roman" w:cs="Times New Roman"/>
              </w:rPr>
              <w:t>tiquetage et balisage rayon,</w:t>
            </w:r>
            <w:r w:rsidR="0073530F" w:rsidRPr="0073530F">
              <w:rPr>
                <w:rFonts w:ascii="Times New Roman" w:hAnsi="Times New Roman" w:cs="Times New Roman"/>
              </w:rPr>
              <w:t xml:space="preserve"> </w:t>
            </w:r>
            <w:proofErr w:type="spellStart"/>
            <w:r w:rsidR="0073530F" w:rsidRPr="0073530F">
              <w:rPr>
                <w:rFonts w:ascii="Times New Roman" w:hAnsi="Times New Roman" w:cs="Times New Roman"/>
              </w:rPr>
              <w:t>f</w:t>
            </w:r>
            <w:r w:rsidRPr="0073530F">
              <w:rPr>
                <w:rFonts w:ascii="Times New Roman" w:hAnsi="Times New Roman" w:cs="Times New Roman"/>
              </w:rPr>
              <w:t>acing</w:t>
            </w:r>
            <w:proofErr w:type="spellEnd"/>
            <w:r w:rsidRPr="0073530F">
              <w:rPr>
                <w:rFonts w:ascii="Times New Roman" w:hAnsi="Times New Roman" w:cs="Times New Roman"/>
              </w:rPr>
              <w:t>,</w:t>
            </w:r>
            <w:r w:rsidR="0073530F" w:rsidRPr="0073530F">
              <w:rPr>
                <w:rFonts w:ascii="Times New Roman" w:hAnsi="Times New Roman" w:cs="Times New Roman"/>
              </w:rPr>
              <w:t xml:space="preserve"> co</w:t>
            </w:r>
            <w:r w:rsidRPr="0073530F">
              <w:rPr>
                <w:rFonts w:ascii="Times New Roman" w:hAnsi="Times New Roman" w:cs="Times New Roman"/>
              </w:rPr>
              <w:t>nstruction d’une tête de gondole,</w:t>
            </w:r>
            <w:r w:rsidR="0073530F" w:rsidRPr="0073530F">
              <w:rPr>
                <w:rFonts w:ascii="Times New Roman" w:hAnsi="Times New Roman" w:cs="Times New Roman"/>
              </w:rPr>
              <w:t xml:space="preserve"> t</w:t>
            </w:r>
            <w:r w:rsidRPr="0073530F">
              <w:rPr>
                <w:rFonts w:ascii="Times New Roman" w:hAnsi="Times New Roman" w:cs="Times New Roman"/>
              </w:rPr>
              <w:t>echniques de merchandising,</w:t>
            </w:r>
            <w:r w:rsidR="0073530F" w:rsidRPr="0073530F">
              <w:rPr>
                <w:rFonts w:ascii="Times New Roman" w:hAnsi="Times New Roman" w:cs="Times New Roman"/>
              </w:rPr>
              <w:t xml:space="preserve"> n</w:t>
            </w:r>
            <w:r w:rsidRPr="0073530F">
              <w:rPr>
                <w:rFonts w:ascii="Times New Roman" w:hAnsi="Times New Roman" w:cs="Times New Roman"/>
              </w:rPr>
              <w:t>ettoyage et entretien des rayonnages,</w:t>
            </w:r>
            <w:r w:rsidR="0073530F" w:rsidRPr="0073530F">
              <w:rPr>
                <w:rFonts w:ascii="Times New Roman" w:hAnsi="Times New Roman" w:cs="Times New Roman"/>
              </w:rPr>
              <w:t xml:space="preserve"> a</w:t>
            </w:r>
            <w:r w:rsidRPr="0073530F">
              <w:rPr>
                <w:rFonts w:ascii="Times New Roman" w:hAnsi="Times New Roman" w:cs="Times New Roman"/>
              </w:rPr>
              <w:t>nimation commerciale, mais également mise en place d'animations en relation avec des fournisseurs,</w:t>
            </w:r>
            <w:r w:rsidR="0073530F" w:rsidRPr="0073530F">
              <w:rPr>
                <w:rFonts w:ascii="Times New Roman" w:hAnsi="Times New Roman" w:cs="Times New Roman"/>
              </w:rPr>
              <w:t xml:space="preserve">  v</w:t>
            </w:r>
            <w:r w:rsidRPr="0073530F">
              <w:rPr>
                <w:rFonts w:ascii="Times New Roman" w:hAnsi="Times New Roman" w:cs="Times New Roman"/>
              </w:rPr>
              <w:t xml:space="preserve">ente et conseils auprès de la clientèle, </w:t>
            </w:r>
            <w:r w:rsidR="0073530F">
              <w:rPr>
                <w:rFonts w:ascii="Times New Roman" w:hAnsi="Times New Roman" w:cs="Times New Roman"/>
              </w:rPr>
              <w:t>e</w:t>
            </w:r>
            <w:r w:rsidRPr="0073530F">
              <w:rPr>
                <w:rFonts w:ascii="Times New Roman" w:hAnsi="Times New Roman" w:cs="Times New Roman"/>
              </w:rPr>
              <w:t>ncaissement des produits en caisse.</w:t>
            </w:r>
          </w:p>
          <w:p w:rsidR="0073530F" w:rsidRDefault="0073530F" w:rsidP="0073530F">
            <w:pPr>
              <w:pStyle w:val="Paragraphedeliste"/>
              <w:tabs>
                <w:tab w:val="left" w:pos="910"/>
              </w:tabs>
              <w:spacing w:before="100" w:beforeAutospacing="1" w:after="100" w:afterAutospacing="1"/>
              <w:rPr>
                <w:rFonts w:ascii="Times New Roman" w:hAnsi="Times New Roman" w:cs="Times New Roman"/>
              </w:rPr>
            </w:pPr>
            <w:r>
              <w:rPr>
                <w:rFonts w:ascii="Times New Roman" w:hAnsi="Times New Roman" w:cs="Times New Roman"/>
              </w:rPr>
              <w:t>H</w:t>
            </w:r>
            <w:r w:rsidR="009F056E" w:rsidRPr="0073530F">
              <w:rPr>
                <w:rFonts w:ascii="Times New Roman" w:hAnsi="Times New Roman" w:cs="Times New Roman"/>
              </w:rPr>
              <w:t>omme ou une femme « ressource » au contact direct avec la clientèle</w:t>
            </w:r>
            <w:r>
              <w:rPr>
                <w:rFonts w:ascii="Times New Roman" w:hAnsi="Times New Roman" w:cs="Times New Roman"/>
              </w:rPr>
              <w:t xml:space="preserve">, </w:t>
            </w:r>
            <w:r w:rsidR="009F056E" w:rsidRPr="0073530F">
              <w:rPr>
                <w:rFonts w:ascii="Times New Roman" w:hAnsi="Times New Roman" w:cs="Times New Roman"/>
              </w:rPr>
              <w:t>assure un lien privilégié avec les clients du magasin. Dans la place stratégique qu’il occupe, il est un maillon indispensable dans la fidélisation de la clientèle d’un magasin. Par sa présence régulière sur la surface de vente, il rassure et fidélise la clientèle et développe l’activité du magasin.</w:t>
            </w:r>
            <w:r>
              <w:rPr>
                <w:rFonts w:ascii="Times New Roman" w:hAnsi="Times New Roman" w:cs="Times New Roman"/>
              </w:rPr>
              <w:t xml:space="preserve"> </w:t>
            </w:r>
            <w:r w:rsidR="009F056E" w:rsidRPr="009F056E">
              <w:rPr>
                <w:rFonts w:ascii="Times New Roman" w:hAnsi="Times New Roman" w:cs="Times New Roman"/>
              </w:rPr>
              <w:t>Ce poste peut évoluer à moyen terme vers une fonction d’adjoint de rayon et à terme responsable de rayon ou de secteur, suivant la taille du magasin dans lequel il évolue.</w:t>
            </w:r>
          </w:p>
          <w:p w:rsidR="009F056E" w:rsidRPr="009F056E" w:rsidRDefault="009F056E" w:rsidP="00DF4B66">
            <w:pPr>
              <w:pStyle w:val="Paragraphedeliste"/>
              <w:numPr>
                <w:ilvl w:val="0"/>
                <w:numId w:val="30"/>
              </w:numPr>
              <w:tabs>
                <w:tab w:val="left" w:pos="910"/>
              </w:tabs>
              <w:spacing w:before="100" w:beforeAutospacing="1" w:after="100" w:afterAutospacing="1"/>
              <w:rPr>
                <w:rFonts w:ascii="Times New Roman" w:hAnsi="Times New Roman" w:cs="Times New Roman"/>
              </w:rPr>
            </w:pPr>
            <w:r w:rsidRPr="00DF4B66">
              <w:rPr>
                <w:rFonts w:ascii="Times New Roman" w:hAnsi="Times New Roman" w:cs="Times New Roman"/>
              </w:rPr>
              <w:t>Capacités attestées : Aménager des rayons et des linéaires</w:t>
            </w:r>
            <w:r w:rsidR="0073530F" w:rsidRPr="00DF4B66">
              <w:rPr>
                <w:rFonts w:ascii="Times New Roman" w:hAnsi="Times New Roman" w:cs="Times New Roman"/>
              </w:rPr>
              <w:t xml:space="preserve">, mise en </w:t>
            </w:r>
            <w:proofErr w:type="spellStart"/>
            <w:r w:rsidR="0073530F" w:rsidRPr="00DF4B66">
              <w:rPr>
                <w:rFonts w:ascii="Times New Roman" w:hAnsi="Times New Roman" w:cs="Times New Roman"/>
              </w:rPr>
              <w:t>oe</w:t>
            </w:r>
            <w:r w:rsidRPr="00DF4B66">
              <w:rPr>
                <w:rFonts w:ascii="Times New Roman" w:hAnsi="Times New Roman" w:cs="Times New Roman"/>
              </w:rPr>
              <w:t>uvre</w:t>
            </w:r>
            <w:proofErr w:type="spellEnd"/>
            <w:r w:rsidRPr="00DF4B66">
              <w:rPr>
                <w:rFonts w:ascii="Times New Roman" w:hAnsi="Times New Roman" w:cs="Times New Roman"/>
              </w:rPr>
              <w:t xml:space="preserve"> de politiques commerciales</w:t>
            </w:r>
            <w:r w:rsidR="0073530F" w:rsidRPr="00DF4B66">
              <w:rPr>
                <w:rFonts w:ascii="Times New Roman" w:hAnsi="Times New Roman" w:cs="Times New Roman"/>
              </w:rPr>
              <w:t xml:space="preserve"> (conformi</w:t>
            </w:r>
            <w:r w:rsidRPr="00DF4B66">
              <w:rPr>
                <w:rFonts w:ascii="Times New Roman" w:hAnsi="Times New Roman" w:cs="Times New Roman"/>
              </w:rPr>
              <w:t>té de présentations des produits et des services</w:t>
            </w:r>
            <w:r w:rsidR="0073530F" w:rsidRPr="00DF4B66">
              <w:rPr>
                <w:rFonts w:ascii="Times New Roman" w:hAnsi="Times New Roman" w:cs="Times New Roman"/>
              </w:rPr>
              <w:t>) ,</w:t>
            </w:r>
            <w:r w:rsidRPr="00DF4B66">
              <w:rPr>
                <w:rFonts w:ascii="Times New Roman" w:hAnsi="Times New Roman" w:cs="Times New Roman"/>
              </w:rPr>
              <w:t xml:space="preserve"> identifie  les emplacements des produits à partir des plans de masses, range les produits sur des étalages et des rayons</w:t>
            </w:r>
            <w:r w:rsidR="0073530F" w:rsidRPr="00DF4B66">
              <w:rPr>
                <w:rFonts w:ascii="Times New Roman" w:hAnsi="Times New Roman" w:cs="Times New Roman"/>
              </w:rPr>
              <w:t>, g</w:t>
            </w:r>
            <w:r w:rsidRPr="00DF4B66">
              <w:rPr>
                <w:rFonts w:ascii="Times New Roman" w:hAnsi="Times New Roman" w:cs="Times New Roman"/>
              </w:rPr>
              <w:t>estion de produits de rayons</w:t>
            </w:r>
            <w:r w:rsidR="0073530F" w:rsidRPr="00DF4B66">
              <w:rPr>
                <w:rFonts w:ascii="Times New Roman" w:hAnsi="Times New Roman" w:cs="Times New Roman"/>
              </w:rPr>
              <w:t>, c</w:t>
            </w:r>
            <w:r w:rsidRPr="00DF4B66">
              <w:rPr>
                <w:rFonts w:ascii="Times New Roman" w:hAnsi="Times New Roman" w:cs="Times New Roman"/>
              </w:rPr>
              <w:t>ontrôle de disponibilités des pr</w:t>
            </w:r>
            <w:r w:rsidR="0073530F" w:rsidRPr="00DF4B66">
              <w:rPr>
                <w:rFonts w:ascii="Times New Roman" w:hAnsi="Times New Roman" w:cs="Times New Roman"/>
              </w:rPr>
              <w:t>oduits sur les points de vente, v</w:t>
            </w:r>
            <w:r w:rsidRPr="00DF4B66">
              <w:rPr>
                <w:rFonts w:ascii="Times New Roman" w:hAnsi="Times New Roman" w:cs="Times New Roman"/>
              </w:rPr>
              <w:t>érification de l’état des produits et des marchandises</w:t>
            </w:r>
            <w:r w:rsidR="0073530F" w:rsidRPr="00DF4B66">
              <w:rPr>
                <w:rFonts w:ascii="Times New Roman" w:hAnsi="Times New Roman" w:cs="Times New Roman"/>
              </w:rPr>
              <w:t>, c</w:t>
            </w:r>
            <w:r w:rsidRPr="00DF4B66">
              <w:rPr>
                <w:rFonts w:ascii="Times New Roman" w:hAnsi="Times New Roman" w:cs="Times New Roman"/>
              </w:rPr>
              <w:t>ontrôle d’affichages d’informations réglementaires et de prix</w:t>
            </w:r>
            <w:r w:rsidR="0073530F" w:rsidRPr="00DF4B66">
              <w:rPr>
                <w:rFonts w:ascii="Times New Roman" w:hAnsi="Times New Roman" w:cs="Times New Roman"/>
              </w:rPr>
              <w:t>, g</w:t>
            </w:r>
            <w:r w:rsidRPr="00DF4B66">
              <w:rPr>
                <w:rFonts w:ascii="Times New Roman" w:hAnsi="Times New Roman" w:cs="Times New Roman"/>
              </w:rPr>
              <w:t>érer des stocks de marchandises</w:t>
            </w:r>
            <w:r w:rsidR="0073530F" w:rsidRPr="00DF4B66">
              <w:rPr>
                <w:rFonts w:ascii="Times New Roman" w:hAnsi="Times New Roman" w:cs="Times New Roman"/>
              </w:rPr>
              <w:t>, r</w:t>
            </w:r>
            <w:r w:rsidRPr="00DF4B66">
              <w:rPr>
                <w:rFonts w:ascii="Times New Roman" w:hAnsi="Times New Roman" w:cs="Times New Roman"/>
              </w:rPr>
              <w:t>angement et entreposage de marchandises</w:t>
            </w:r>
            <w:r w:rsidR="0073530F" w:rsidRPr="00DF4B66">
              <w:rPr>
                <w:rFonts w:ascii="Times New Roman" w:hAnsi="Times New Roman" w:cs="Times New Roman"/>
              </w:rPr>
              <w:t xml:space="preserve">, </w:t>
            </w:r>
            <w:r w:rsidRPr="00DF4B66">
              <w:rPr>
                <w:rFonts w:ascii="Times New Roman" w:hAnsi="Times New Roman" w:cs="Times New Roman"/>
              </w:rPr>
              <w:t xml:space="preserve"> des stocks dans les réserves</w:t>
            </w:r>
            <w:r w:rsidR="0073530F" w:rsidRPr="00DF4B66">
              <w:rPr>
                <w:rFonts w:ascii="Times New Roman" w:hAnsi="Times New Roman" w:cs="Times New Roman"/>
              </w:rPr>
              <w:t xml:space="preserve">, </w:t>
            </w:r>
            <w:r w:rsidRPr="00DF4B66">
              <w:rPr>
                <w:rFonts w:ascii="Times New Roman" w:hAnsi="Times New Roman" w:cs="Times New Roman"/>
              </w:rPr>
              <w:t>inventaires des rayons et des magasins</w:t>
            </w:r>
            <w:r w:rsidR="0073530F" w:rsidRPr="00DF4B66">
              <w:rPr>
                <w:rFonts w:ascii="Times New Roman" w:hAnsi="Times New Roman" w:cs="Times New Roman"/>
              </w:rPr>
              <w:t>, a</w:t>
            </w:r>
            <w:r w:rsidRPr="00DF4B66">
              <w:rPr>
                <w:rFonts w:ascii="Times New Roman" w:hAnsi="Times New Roman" w:cs="Times New Roman"/>
              </w:rPr>
              <w:t>ccueillir et orienter les clients</w:t>
            </w:r>
            <w:r w:rsidR="0073530F" w:rsidRPr="00DF4B66">
              <w:rPr>
                <w:rFonts w:ascii="Times New Roman" w:hAnsi="Times New Roman" w:cs="Times New Roman"/>
              </w:rPr>
              <w:t xml:space="preserve">, </w:t>
            </w:r>
            <w:r w:rsidR="00DF4B66" w:rsidRPr="00DF4B66">
              <w:rPr>
                <w:rFonts w:ascii="Times New Roman" w:hAnsi="Times New Roman" w:cs="Times New Roman"/>
              </w:rPr>
              <w:t>a</w:t>
            </w:r>
            <w:r w:rsidRPr="00DF4B66">
              <w:rPr>
                <w:rFonts w:ascii="Times New Roman" w:hAnsi="Times New Roman" w:cs="Times New Roman"/>
              </w:rPr>
              <w:t>nalyse de tableaux de bords</w:t>
            </w:r>
            <w:r w:rsidR="00DF4B66" w:rsidRPr="00DF4B66">
              <w:rPr>
                <w:rFonts w:ascii="Times New Roman" w:hAnsi="Times New Roman" w:cs="Times New Roman"/>
              </w:rPr>
              <w:t xml:space="preserve">, </w:t>
            </w:r>
            <w:r w:rsidRPr="00DF4B66">
              <w:rPr>
                <w:rFonts w:ascii="Times New Roman" w:hAnsi="Times New Roman" w:cs="Times New Roman"/>
              </w:rPr>
              <w:t>recense des</w:t>
            </w:r>
            <w:r w:rsidR="00DF4B66" w:rsidRPr="00DF4B66">
              <w:rPr>
                <w:rFonts w:ascii="Times New Roman" w:hAnsi="Times New Roman" w:cs="Times New Roman"/>
              </w:rPr>
              <w:t xml:space="preserve"> </w:t>
            </w:r>
            <w:r w:rsidRPr="00DF4B66">
              <w:rPr>
                <w:rFonts w:ascii="Times New Roman" w:hAnsi="Times New Roman" w:cs="Times New Roman"/>
              </w:rPr>
              <w:lastRenderedPageBreak/>
              <w:t>demandes de clients sur des produits spécifiques et proposer de nouveaux référencements</w:t>
            </w:r>
            <w:r w:rsidR="00DF4B66" w:rsidRPr="00DF4B66">
              <w:rPr>
                <w:rFonts w:ascii="Times New Roman" w:hAnsi="Times New Roman" w:cs="Times New Roman"/>
              </w:rPr>
              <w:t>, etc</w:t>
            </w:r>
            <w:r w:rsidRPr="009F056E">
              <w:rPr>
                <w:rFonts w:ascii="Times New Roman" w:hAnsi="Times New Roman" w:cs="Times New Roman"/>
              </w:rPr>
              <w:t>.</w:t>
            </w:r>
          </w:p>
        </w:tc>
      </w:tr>
      <w:tr w:rsidR="009F3B76" w:rsidTr="00553A2B">
        <w:trPr>
          <w:gridAfter w:val="1"/>
        </w:trPr>
        <w:tc>
          <w:tcPr>
            <w:tcW w:w="9212" w:type="dxa"/>
            <w:shd w:val="clear" w:color="auto" w:fill="92D050"/>
          </w:tcPr>
          <w:p w:rsidR="009F3B76" w:rsidRPr="009F056E" w:rsidRDefault="009F3B76" w:rsidP="00D8503F">
            <w:pPr>
              <w:jc w:val="center"/>
              <w:rPr>
                <w:b/>
              </w:rPr>
            </w:pPr>
            <w:r w:rsidRPr="009F056E">
              <w:rPr>
                <w:b/>
              </w:rPr>
              <w:lastRenderedPageBreak/>
              <w:t xml:space="preserve">Caractéristiques et exigences particulières de l’activité </w:t>
            </w:r>
          </w:p>
        </w:tc>
      </w:tr>
      <w:tr w:rsidR="009F3B76" w:rsidTr="00553A2B">
        <w:trPr>
          <w:gridAfter w:val="1"/>
        </w:trPr>
        <w:tc>
          <w:tcPr>
            <w:tcW w:w="9212" w:type="dxa"/>
            <w:shd w:val="clear" w:color="auto" w:fill="auto"/>
          </w:tcPr>
          <w:p w:rsidR="000E1404" w:rsidRPr="009F056E" w:rsidRDefault="000E1404" w:rsidP="009F3B76">
            <w:pPr>
              <w:pStyle w:val="Paragraphedeliste"/>
              <w:numPr>
                <w:ilvl w:val="0"/>
                <w:numId w:val="32"/>
              </w:numPr>
              <w:rPr>
                <w:rFonts w:ascii="Times New Roman" w:hAnsi="Times New Roman" w:cs="Times New Roman"/>
              </w:rPr>
            </w:pPr>
            <w:r w:rsidRPr="009F056E">
              <w:rPr>
                <w:rFonts w:ascii="Times New Roman" w:hAnsi="Times New Roman" w:cs="Times New Roman"/>
              </w:rPr>
              <w:t>Polyvalence/ multiplicité des tâches</w:t>
            </w:r>
          </w:p>
          <w:p w:rsidR="009F3B76" w:rsidRPr="009F056E" w:rsidRDefault="00245008" w:rsidP="009F3B76">
            <w:pPr>
              <w:pStyle w:val="Paragraphedeliste"/>
              <w:numPr>
                <w:ilvl w:val="0"/>
                <w:numId w:val="32"/>
              </w:numPr>
              <w:rPr>
                <w:rFonts w:ascii="Times New Roman" w:hAnsi="Times New Roman" w:cs="Times New Roman"/>
              </w:rPr>
            </w:pPr>
            <w:r w:rsidRPr="009F056E">
              <w:rPr>
                <w:rFonts w:ascii="Times New Roman" w:hAnsi="Times New Roman" w:cs="Times New Roman"/>
              </w:rPr>
              <w:t>Point d’attention : A</w:t>
            </w:r>
            <w:r w:rsidR="009F3B76" w:rsidRPr="009F056E">
              <w:rPr>
                <w:rFonts w:ascii="Times New Roman" w:hAnsi="Times New Roman" w:cs="Times New Roman"/>
              </w:rPr>
              <w:t xml:space="preserve"> ce jour, les vendeurs du commerce de détail spécialisé </w:t>
            </w:r>
            <w:bookmarkStart w:id="0" w:name="_GoBack"/>
            <w:bookmarkEnd w:id="0"/>
            <w:r w:rsidR="009F3B76" w:rsidRPr="009F056E">
              <w:rPr>
                <w:rFonts w:ascii="Times New Roman" w:hAnsi="Times New Roman" w:cs="Times New Roman"/>
              </w:rPr>
              <w:t xml:space="preserve">ainsi que les vendeurs de la grande distribution ne figurent pas sur la liste des ECAP </w:t>
            </w:r>
          </w:p>
        </w:tc>
      </w:tr>
      <w:tr w:rsidR="009F3B76" w:rsidTr="00B11058">
        <w:trPr>
          <w:gridAfter w:val="1"/>
        </w:trPr>
        <w:tc>
          <w:tcPr>
            <w:tcW w:w="9212" w:type="dxa"/>
            <w:shd w:val="clear" w:color="auto" w:fill="92D050"/>
          </w:tcPr>
          <w:p w:rsidR="009F3B76" w:rsidRPr="005B7EDB" w:rsidRDefault="007911E3" w:rsidP="007911E3">
            <w:pPr>
              <w:pStyle w:val="Paragraphedeliste"/>
              <w:jc w:val="center"/>
              <w:rPr>
                <w:rFonts w:ascii="Times New Roman" w:hAnsi="Times New Roman" w:cs="Times New Roman"/>
                <w:b/>
              </w:rPr>
            </w:pPr>
            <w:r w:rsidRPr="005B7EDB">
              <w:rPr>
                <w:rFonts w:ascii="Times New Roman" w:hAnsi="Times New Roman" w:cs="Times New Roman"/>
                <w:b/>
              </w:rPr>
              <w:t>Principaux r</w:t>
            </w:r>
            <w:r w:rsidR="009F3B76" w:rsidRPr="005B7EDB">
              <w:rPr>
                <w:rFonts w:ascii="Times New Roman" w:hAnsi="Times New Roman" w:cs="Times New Roman"/>
                <w:b/>
              </w:rPr>
              <w:t>isques professionnels</w:t>
            </w:r>
            <w:r w:rsidR="000E1404" w:rsidRPr="005B7EDB">
              <w:rPr>
                <w:rFonts w:ascii="Times New Roman" w:hAnsi="Times New Roman" w:cs="Times New Roman"/>
                <w:b/>
              </w:rPr>
              <w:t xml:space="preserve"> (contraintes, nuisances)</w:t>
            </w:r>
          </w:p>
        </w:tc>
      </w:tr>
      <w:tr w:rsidR="009F3B76" w:rsidTr="00553A2B">
        <w:trPr>
          <w:gridAfter w:val="1"/>
        </w:trPr>
        <w:tc>
          <w:tcPr>
            <w:tcW w:w="9212" w:type="dxa"/>
          </w:tcPr>
          <w:p w:rsidR="009F3B76" w:rsidRPr="009F056E" w:rsidRDefault="000E1404" w:rsidP="00B11058">
            <w:pPr>
              <w:pStyle w:val="Paragraphedeliste"/>
              <w:numPr>
                <w:ilvl w:val="0"/>
                <w:numId w:val="29"/>
              </w:numPr>
              <w:rPr>
                <w:rFonts w:ascii="Times New Roman" w:hAnsi="Times New Roman" w:cs="Times New Roman"/>
              </w:rPr>
            </w:pPr>
            <w:r w:rsidRPr="009F056E">
              <w:rPr>
                <w:rFonts w:ascii="Times New Roman" w:hAnsi="Times New Roman" w:cs="Times New Roman"/>
              </w:rPr>
              <w:t>Lumière artificielle (fatigue visuelle)</w:t>
            </w:r>
          </w:p>
          <w:p w:rsidR="000E1404" w:rsidRPr="009F056E" w:rsidRDefault="000E1404" w:rsidP="00B11058">
            <w:pPr>
              <w:pStyle w:val="Paragraphedeliste"/>
              <w:numPr>
                <w:ilvl w:val="0"/>
                <w:numId w:val="29"/>
              </w:numPr>
              <w:rPr>
                <w:rFonts w:ascii="Times New Roman" w:hAnsi="Times New Roman" w:cs="Times New Roman"/>
              </w:rPr>
            </w:pPr>
            <w:r w:rsidRPr="009F056E">
              <w:rPr>
                <w:rFonts w:ascii="Times New Roman" w:hAnsi="Times New Roman" w:cs="Times New Roman"/>
              </w:rPr>
              <w:t>Circulation (sol encombré, chutes d’objet)</w:t>
            </w:r>
            <w:r w:rsidR="00670606" w:rsidRPr="009F056E">
              <w:rPr>
                <w:rFonts w:ascii="Times New Roman" w:hAnsi="Times New Roman" w:cs="Times New Roman"/>
              </w:rPr>
              <w:t>, changements de niveaux</w:t>
            </w:r>
          </w:p>
          <w:p w:rsidR="000E1404" w:rsidRPr="009F056E" w:rsidRDefault="000E1404" w:rsidP="00B11058">
            <w:pPr>
              <w:pStyle w:val="Paragraphedeliste"/>
              <w:numPr>
                <w:ilvl w:val="0"/>
                <w:numId w:val="29"/>
              </w:numPr>
              <w:rPr>
                <w:rFonts w:ascii="Times New Roman" w:hAnsi="Times New Roman" w:cs="Times New Roman"/>
              </w:rPr>
            </w:pPr>
            <w:r w:rsidRPr="009F056E">
              <w:rPr>
                <w:rFonts w:ascii="Times New Roman" w:hAnsi="Times New Roman" w:cs="Times New Roman"/>
              </w:rPr>
              <w:t>Posture contraignantes (mise en rayon)</w:t>
            </w:r>
          </w:p>
          <w:p w:rsidR="000E1404" w:rsidRPr="00B11058" w:rsidRDefault="000E1404" w:rsidP="00B11058">
            <w:pPr>
              <w:pStyle w:val="Paragraphedeliste"/>
              <w:numPr>
                <w:ilvl w:val="0"/>
                <w:numId w:val="29"/>
              </w:numPr>
              <w:rPr>
                <w:rFonts w:ascii="Times New Roman" w:hAnsi="Times New Roman" w:cs="Times New Roman"/>
                <w:sz w:val="24"/>
                <w:szCs w:val="24"/>
              </w:rPr>
            </w:pPr>
            <w:r w:rsidRPr="009F056E">
              <w:rPr>
                <w:rFonts w:ascii="Times New Roman" w:hAnsi="Times New Roman" w:cs="Times New Roman"/>
              </w:rPr>
              <w:t>Contact avec le public</w:t>
            </w:r>
            <w:r>
              <w:rPr>
                <w:rFonts w:ascii="Times New Roman" w:hAnsi="Times New Roman" w:cs="Times New Roman"/>
                <w:sz w:val="24"/>
                <w:szCs w:val="24"/>
              </w:rPr>
              <w:t xml:space="preserve"> </w:t>
            </w:r>
          </w:p>
        </w:tc>
      </w:tr>
      <w:tr w:rsidR="009F3B76" w:rsidTr="00553A2B">
        <w:trPr>
          <w:gridAfter w:val="1"/>
        </w:trPr>
        <w:tc>
          <w:tcPr>
            <w:tcW w:w="9212" w:type="dxa"/>
            <w:shd w:val="clear" w:color="auto" w:fill="92D050"/>
          </w:tcPr>
          <w:p w:rsidR="009F3B76" w:rsidRDefault="009F3B76" w:rsidP="00E539B8">
            <w:pPr>
              <w:jc w:val="center"/>
              <w:rPr>
                <w:b/>
              </w:rPr>
            </w:pPr>
            <w:r>
              <w:rPr>
                <w:b/>
              </w:rPr>
              <w:t>Prévention (recommandations, guides…)</w:t>
            </w:r>
            <w:r w:rsidR="005B7EDB">
              <w:rPr>
                <w:rStyle w:val="Appelnotedebasdep"/>
                <w:b/>
              </w:rPr>
              <w:footnoteReference w:id="3"/>
            </w:r>
          </w:p>
        </w:tc>
      </w:tr>
      <w:tr w:rsidR="009F3B76" w:rsidTr="00553A2B">
        <w:trPr>
          <w:gridAfter w:val="1"/>
        </w:trPr>
        <w:tc>
          <w:tcPr>
            <w:tcW w:w="9212" w:type="dxa"/>
            <w:shd w:val="clear" w:color="auto" w:fill="auto"/>
          </w:tcPr>
          <w:tbl>
            <w:tblPr>
              <w:tblW w:w="5000" w:type="pct"/>
              <w:tblCellMar>
                <w:left w:w="70" w:type="dxa"/>
                <w:right w:w="70" w:type="dxa"/>
              </w:tblCellMar>
              <w:tblLook w:val="04A0" w:firstRow="1" w:lastRow="0" w:firstColumn="1" w:lastColumn="0" w:noHBand="0" w:noVBand="1"/>
            </w:tblPr>
            <w:tblGrid>
              <w:gridCol w:w="3496"/>
              <w:gridCol w:w="587"/>
              <w:gridCol w:w="4903"/>
            </w:tblGrid>
            <w:tr w:rsidR="001E5F2F" w:rsidRPr="007C3050" w:rsidTr="00602258">
              <w:trPr>
                <w:trHeight w:val="315"/>
              </w:trPr>
              <w:tc>
                <w:tcPr>
                  <w:tcW w:w="1681"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Prévenir le mal de dos dans le secteur du commerce</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2018</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9" w:history="1">
                    <w:r w:rsidR="001E5F2F" w:rsidRPr="007C3050">
                      <w:rPr>
                        <w:rFonts w:ascii="Calibri" w:eastAsia="Times New Roman" w:hAnsi="Calibri" w:cs="Times New Roman"/>
                        <w:color w:val="0563C1"/>
                        <w:u w:val="single"/>
                        <w:lang w:eastAsia="fr-FR"/>
                      </w:rPr>
                      <w:t>http://www.inrs.fr/media.html?refINRS=ED%206320</w:t>
                    </w:r>
                  </w:hyperlink>
                </w:p>
              </w:tc>
            </w:tr>
            <w:tr w:rsidR="001E5F2F" w:rsidRPr="007C3050" w:rsidTr="00602258">
              <w:trPr>
                <w:trHeight w:val="615"/>
              </w:trPr>
              <w:tc>
                <w:tcPr>
                  <w:tcW w:w="1681" w:type="pct"/>
                  <w:tcBorders>
                    <w:top w:val="nil"/>
                    <w:left w:val="nil"/>
                    <w:bottom w:val="nil"/>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Prévention des risques professionnels dans le commerce de détail non alimentaire. TF 252</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2018</w:t>
                  </w:r>
                </w:p>
              </w:tc>
              <w:tc>
                <w:tcPr>
                  <w:tcW w:w="2019" w:type="pct"/>
                  <w:tcBorders>
                    <w:top w:val="nil"/>
                    <w:left w:val="nil"/>
                    <w:bottom w:val="nil"/>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0" w:history="1">
                    <w:r w:rsidR="001E5F2F" w:rsidRPr="007C3050">
                      <w:rPr>
                        <w:rFonts w:ascii="Calibri" w:eastAsia="Times New Roman" w:hAnsi="Calibri" w:cs="Times New Roman"/>
                        <w:color w:val="0563C1"/>
                        <w:u w:val="single"/>
                        <w:lang w:eastAsia="fr-FR"/>
                      </w:rPr>
                      <w:t>http://www.rst-sante-travail.fr/rst/pages-article/ArticleRST.html?ref=RST.TF%20252</w:t>
                    </w:r>
                  </w:hyperlink>
                </w:p>
              </w:tc>
            </w:tr>
            <w:tr w:rsidR="001E5F2F" w:rsidRPr="007C3050" w:rsidTr="00602258">
              <w:trPr>
                <w:trHeight w:val="615"/>
              </w:trPr>
              <w:tc>
                <w:tcPr>
                  <w:tcW w:w="1681" w:type="pct"/>
                  <w:tcBorders>
                    <w:top w:val="single" w:sz="4" w:space="0" w:color="auto"/>
                    <w:left w:val="single" w:sz="4" w:space="0" w:color="auto"/>
                    <w:bottom w:val="nil"/>
                    <w:right w:val="single" w:sz="4" w:space="0" w:color="auto"/>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Commerces de détail non alimentaires. La santé de votre entreprise passe par celle de vos salariés.</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1" w:history="1">
                    <w:r w:rsidR="001E5F2F" w:rsidRPr="007C3050">
                      <w:rPr>
                        <w:rFonts w:ascii="Calibri" w:eastAsia="Times New Roman" w:hAnsi="Calibri" w:cs="Times New Roman"/>
                        <w:color w:val="0563C1"/>
                        <w:u w:val="single"/>
                        <w:lang w:eastAsia="fr-FR"/>
                      </w:rPr>
                      <w:t>http://www.inrs.fr/media.html?refINRS=ED%206259</w:t>
                    </w:r>
                  </w:hyperlink>
                </w:p>
              </w:tc>
            </w:tr>
            <w:tr w:rsidR="001E5F2F" w:rsidRPr="007C3050" w:rsidTr="00602258">
              <w:trPr>
                <w:trHeight w:val="615"/>
              </w:trPr>
              <w:tc>
                <w:tcPr>
                  <w:tcW w:w="1681" w:type="pct"/>
                  <w:vMerge w:val="restart"/>
                  <w:tcBorders>
                    <w:top w:val="single" w:sz="4" w:space="0" w:color="auto"/>
                    <w:left w:val="single" w:sz="4" w:space="0" w:color="auto"/>
                    <w:bottom w:val="single" w:sz="4" w:space="0" w:color="000000"/>
                    <w:right w:val="nil"/>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Commerces de détail non alimentaires. Solutions de prévention incontournables. ED 6264 à ED 6269</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nil"/>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2" w:history="1">
                    <w:r w:rsidR="001E5F2F" w:rsidRPr="007C3050">
                      <w:rPr>
                        <w:rFonts w:ascii="Calibri" w:eastAsia="Times New Roman" w:hAnsi="Calibri" w:cs="Times New Roman"/>
                        <w:color w:val="0563C1"/>
                        <w:u w:val="single"/>
                        <w:lang w:eastAsia="fr-FR"/>
                      </w:rPr>
                      <w:t>http://www.inrs.fr/media.html?refINRS=ED%206264</w:t>
                    </w:r>
                  </w:hyperlink>
                </w:p>
              </w:tc>
            </w:tr>
            <w:tr w:rsidR="001E5F2F" w:rsidRPr="007C3050" w:rsidTr="00602258">
              <w:trPr>
                <w:trHeight w:val="315"/>
              </w:trPr>
              <w:tc>
                <w:tcPr>
                  <w:tcW w:w="1681" w:type="pct"/>
                  <w:vMerge/>
                  <w:tcBorders>
                    <w:top w:val="single" w:sz="4" w:space="0" w:color="auto"/>
                    <w:left w:val="single" w:sz="4" w:space="0" w:color="auto"/>
                    <w:bottom w:val="single" w:sz="4" w:space="0" w:color="000000"/>
                    <w:right w:val="nil"/>
                  </w:tcBorders>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nil"/>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3" w:history="1">
                    <w:r w:rsidR="001E5F2F" w:rsidRPr="007C3050">
                      <w:rPr>
                        <w:rFonts w:ascii="Calibri" w:eastAsia="Times New Roman" w:hAnsi="Calibri" w:cs="Times New Roman"/>
                        <w:color w:val="0563C1"/>
                        <w:u w:val="single"/>
                        <w:lang w:eastAsia="fr-FR"/>
                      </w:rPr>
                      <w:t>http://www.inrs.fr/media.html?refINRS=ED%206265</w:t>
                    </w:r>
                  </w:hyperlink>
                </w:p>
              </w:tc>
            </w:tr>
            <w:tr w:rsidR="001E5F2F" w:rsidRPr="007C3050" w:rsidTr="00602258">
              <w:trPr>
                <w:trHeight w:val="315"/>
              </w:trPr>
              <w:tc>
                <w:tcPr>
                  <w:tcW w:w="1681" w:type="pct"/>
                  <w:vMerge/>
                  <w:tcBorders>
                    <w:top w:val="single" w:sz="4" w:space="0" w:color="auto"/>
                    <w:left w:val="single" w:sz="4" w:space="0" w:color="auto"/>
                    <w:bottom w:val="single" w:sz="4" w:space="0" w:color="000000"/>
                    <w:right w:val="nil"/>
                  </w:tcBorders>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nil"/>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4" w:history="1">
                    <w:r w:rsidR="001E5F2F" w:rsidRPr="007C3050">
                      <w:rPr>
                        <w:rFonts w:ascii="Calibri" w:eastAsia="Times New Roman" w:hAnsi="Calibri" w:cs="Times New Roman"/>
                        <w:color w:val="0563C1"/>
                        <w:u w:val="single"/>
                        <w:lang w:eastAsia="fr-FR"/>
                      </w:rPr>
                      <w:t>http://www.inrs.fr/media.html?refINRS=ED%206266</w:t>
                    </w:r>
                  </w:hyperlink>
                </w:p>
              </w:tc>
            </w:tr>
            <w:tr w:rsidR="001E5F2F" w:rsidRPr="007C3050" w:rsidTr="00602258">
              <w:trPr>
                <w:trHeight w:val="315"/>
              </w:trPr>
              <w:tc>
                <w:tcPr>
                  <w:tcW w:w="1681" w:type="pct"/>
                  <w:vMerge/>
                  <w:tcBorders>
                    <w:top w:val="single" w:sz="4" w:space="0" w:color="auto"/>
                    <w:left w:val="single" w:sz="4" w:space="0" w:color="auto"/>
                    <w:bottom w:val="single" w:sz="4" w:space="0" w:color="000000"/>
                    <w:right w:val="nil"/>
                  </w:tcBorders>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nil"/>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5" w:history="1">
                    <w:r w:rsidR="001E5F2F" w:rsidRPr="007C3050">
                      <w:rPr>
                        <w:rFonts w:ascii="Calibri" w:eastAsia="Times New Roman" w:hAnsi="Calibri" w:cs="Times New Roman"/>
                        <w:color w:val="0563C1"/>
                        <w:u w:val="single"/>
                        <w:lang w:eastAsia="fr-FR"/>
                      </w:rPr>
                      <w:t>http://www.inrs.fr/media.html?refINRS=ED%206267</w:t>
                    </w:r>
                  </w:hyperlink>
                </w:p>
              </w:tc>
            </w:tr>
            <w:tr w:rsidR="001E5F2F" w:rsidRPr="007C3050" w:rsidTr="00602258">
              <w:trPr>
                <w:trHeight w:val="315"/>
              </w:trPr>
              <w:tc>
                <w:tcPr>
                  <w:tcW w:w="1681" w:type="pct"/>
                  <w:vMerge/>
                  <w:tcBorders>
                    <w:top w:val="single" w:sz="4" w:space="0" w:color="auto"/>
                    <w:left w:val="single" w:sz="4" w:space="0" w:color="auto"/>
                    <w:bottom w:val="single" w:sz="4" w:space="0" w:color="000000"/>
                    <w:right w:val="nil"/>
                  </w:tcBorders>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nil"/>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6" w:history="1">
                    <w:r w:rsidR="001E5F2F" w:rsidRPr="007C3050">
                      <w:rPr>
                        <w:rFonts w:ascii="Calibri" w:eastAsia="Times New Roman" w:hAnsi="Calibri" w:cs="Times New Roman"/>
                        <w:color w:val="0563C1"/>
                        <w:u w:val="single"/>
                        <w:lang w:eastAsia="fr-FR"/>
                      </w:rPr>
                      <w:t>http://www.inrs.fr/media.html?refINRS=ED%206268</w:t>
                    </w:r>
                  </w:hyperlink>
                </w:p>
              </w:tc>
            </w:tr>
            <w:tr w:rsidR="001E5F2F" w:rsidRPr="007C3050" w:rsidTr="00602258">
              <w:trPr>
                <w:trHeight w:val="315"/>
              </w:trPr>
              <w:tc>
                <w:tcPr>
                  <w:tcW w:w="1681" w:type="pct"/>
                  <w:vMerge/>
                  <w:tcBorders>
                    <w:top w:val="single" w:sz="4" w:space="0" w:color="auto"/>
                    <w:left w:val="single" w:sz="4" w:space="0" w:color="auto"/>
                    <w:bottom w:val="single" w:sz="4" w:space="0" w:color="000000"/>
                    <w:right w:val="nil"/>
                  </w:tcBorders>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2016</w:t>
                  </w:r>
                </w:p>
              </w:tc>
              <w:tc>
                <w:tcPr>
                  <w:tcW w:w="2019" w:type="pct"/>
                  <w:tcBorders>
                    <w:top w:val="nil"/>
                    <w:left w:val="nil"/>
                    <w:bottom w:val="single" w:sz="4" w:space="0" w:color="auto"/>
                    <w:right w:val="single" w:sz="4" w:space="0" w:color="auto"/>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7" w:history="1">
                    <w:r w:rsidR="001E5F2F" w:rsidRPr="007C3050">
                      <w:rPr>
                        <w:rFonts w:ascii="Calibri" w:eastAsia="Times New Roman" w:hAnsi="Calibri" w:cs="Times New Roman"/>
                        <w:color w:val="0563C1"/>
                        <w:u w:val="single"/>
                        <w:lang w:eastAsia="fr-FR"/>
                      </w:rPr>
                      <w:t xml:space="preserve">http://www.inrs.fr/media.html?refINRS=ED%206269 </w:t>
                    </w:r>
                  </w:hyperlink>
                </w:p>
              </w:tc>
            </w:tr>
            <w:tr w:rsidR="001E5F2F" w:rsidRPr="007C3050" w:rsidTr="00602258">
              <w:trPr>
                <w:trHeight w:val="315"/>
              </w:trPr>
              <w:tc>
                <w:tcPr>
                  <w:tcW w:w="1681"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Des risques professionnels contrastés selon les métiers : enquête SUMER 2010</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8" w:history="1">
                    <w:r w:rsidR="001E5F2F" w:rsidRPr="007C3050">
                      <w:rPr>
                        <w:rFonts w:ascii="Calibri" w:eastAsia="Times New Roman" w:hAnsi="Calibri" w:cs="Times New Roman"/>
                        <w:color w:val="0563C1"/>
                        <w:u w:val="single"/>
                        <w:lang w:eastAsia="fr-FR"/>
                      </w:rPr>
                      <w:t>http://www.inrs.fr/media.html?refINRS=TF%20224</w:t>
                    </w:r>
                  </w:hyperlink>
                </w:p>
              </w:tc>
            </w:tr>
            <w:tr w:rsidR="001E5F2F" w:rsidRPr="007C3050" w:rsidTr="00602258">
              <w:trPr>
                <w:trHeight w:val="615"/>
              </w:trPr>
              <w:tc>
                <w:tcPr>
                  <w:tcW w:w="1681"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SUMER. Les risques professionnels en 2010 : de fortes différences d'exposition selon les secteurs</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2013</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19" w:history="1">
                    <w:r w:rsidR="001E5F2F" w:rsidRPr="007C3050">
                      <w:rPr>
                        <w:rFonts w:ascii="Calibri" w:eastAsia="Times New Roman" w:hAnsi="Calibri" w:cs="Times New Roman"/>
                        <w:color w:val="0563C1"/>
                        <w:u w:val="single"/>
                        <w:lang w:eastAsia="fr-FR"/>
                      </w:rPr>
                      <w:t>http://www.inrs.fr/media.html?refINRS=TF%20207</w:t>
                    </w:r>
                  </w:hyperlink>
                </w:p>
              </w:tc>
            </w:tr>
            <w:tr w:rsidR="001E5F2F" w:rsidRPr="007C3050" w:rsidTr="00602258">
              <w:trPr>
                <w:trHeight w:val="315"/>
              </w:trPr>
              <w:tc>
                <w:tcPr>
                  <w:tcW w:w="1681"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Les accidents du tertiaire. Des risques très divers pour une même activité de services. </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2012</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20" w:history="1">
                    <w:r w:rsidR="001E5F2F" w:rsidRPr="007C3050">
                      <w:rPr>
                        <w:rFonts w:ascii="Calibri" w:eastAsia="Times New Roman" w:hAnsi="Calibri" w:cs="Times New Roman"/>
                        <w:color w:val="0563C1"/>
                        <w:u w:val="single"/>
                        <w:lang w:eastAsia="fr-FR"/>
                      </w:rPr>
                      <w:t>http://www.inrs.fr/media.html?refINRS=ND%202361</w:t>
                    </w:r>
                  </w:hyperlink>
                </w:p>
              </w:tc>
            </w:tr>
            <w:tr w:rsidR="001E5F2F" w:rsidRPr="007C3050" w:rsidTr="00602258">
              <w:trPr>
                <w:trHeight w:val="799"/>
              </w:trPr>
              <w:tc>
                <w:tcPr>
                  <w:tcW w:w="1681"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Dossier. Grande distribution. La prévention à tous les rayons. Voir TS, n° 695, mai 2009</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2009</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1E5F2F" w:rsidRPr="007C3050" w:rsidTr="00602258">
              <w:trPr>
                <w:trHeight w:val="615"/>
              </w:trPr>
              <w:tc>
                <w:tcPr>
                  <w:tcW w:w="1681" w:type="pct"/>
                  <w:tcBorders>
                    <w:top w:val="nil"/>
                    <w:left w:val="nil"/>
                    <w:bottom w:val="nil"/>
                    <w:right w:val="single" w:sz="8" w:space="0" w:color="999999"/>
                  </w:tcBorders>
                  <w:shd w:val="clear" w:color="auto" w:fill="auto"/>
                  <w:vAlign w:val="center"/>
                  <w:hideMark/>
                </w:tcPr>
                <w:p w:rsidR="001E5F2F" w:rsidRPr="007C3050" w:rsidRDefault="001E5F2F"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Etat de santé des salariés de la grande distribution : </w:t>
                  </w:r>
                  <w:proofErr w:type="spellStart"/>
                  <w:r w:rsidRPr="007C3050">
                    <w:rPr>
                      <w:rFonts w:ascii="Calibri" w:eastAsia="Times New Roman" w:hAnsi="Calibri" w:cs="Times New Roman"/>
                      <w:color w:val="000000"/>
                      <w:lang w:eastAsia="fr-FR"/>
                    </w:rPr>
                    <w:t>Epigrandis</w:t>
                  </w:r>
                  <w:proofErr w:type="spellEnd"/>
                  <w:r w:rsidRPr="007C3050">
                    <w:rPr>
                      <w:rFonts w:ascii="Calibri" w:eastAsia="Times New Roman" w:hAnsi="Calibri" w:cs="Times New Roman"/>
                      <w:color w:val="000000"/>
                      <w:lang w:eastAsia="fr-FR"/>
                    </w:rPr>
                    <w:t>, une étude descriptive dans le département du Rhône. TF 111</w:t>
                  </w:r>
                </w:p>
              </w:tc>
              <w:tc>
                <w:tcPr>
                  <w:tcW w:w="274" w:type="pct"/>
                  <w:tcBorders>
                    <w:top w:val="nil"/>
                    <w:left w:val="nil"/>
                    <w:bottom w:val="single" w:sz="8" w:space="0" w:color="999999"/>
                    <w:right w:val="single" w:sz="8" w:space="0" w:color="999999"/>
                  </w:tcBorders>
                  <w:shd w:val="clear" w:color="auto" w:fill="auto"/>
                  <w:vAlign w:val="center"/>
                  <w:hideMark/>
                </w:tcPr>
                <w:p w:rsidR="001E5F2F" w:rsidRPr="007C3050" w:rsidRDefault="001E5F2F"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2002</w:t>
                  </w:r>
                </w:p>
              </w:tc>
              <w:tc>
                <w:tcPr>
                  <w:tcW w:w="2019" w:type="pct"/>
                  <w:tcBorders>
                    <w:top w:val="nil"/>
                    <w:left w:val="nil"/>
                    <w:bottom w:val="single" w:sz="8" w:space="0" w:color="999999"/>
                    <w:right w:val="single" w:sz="8" w:space="0" w:color="999999"/>
                  </w:tcBorders>
                  <w:shd w:val="clear" w:color="auto" w:fill="auto"/>
                  <w:vAlign w:val="center"/>
                  <w:hideMark/>
                </w:tcPr>
                <w:p w:rsidR="001E5F2F" w:rsidRPr="007C3050" w:rsidRDefault="00002962" w:rsidP="00602258">
                  <w:pPr>
                    <w:spacing w:after="0" w:line="240" w:lineRule="auto"/>
                    <w:rPr>
                      <w:rFonts w:ascii="Calibri" w:eastAsia="Times New Roman" w:hAnsi="Calibri" w:cs="Times New Roman"/>
                      <w:color w:val="0563C1"/>
                      <w:u w:val="single"/>
                      <w:lang w:eastAsia="fr-FR"/>
                    </w:rPr>
                  </w:pPr>
                  <w:hyperlink r:id="rId21" w:history="1">
                    <w:r w:rsidR="001E5F2F" w:rsidRPr="007C3050">
                      <w:rPr>
                        <w:rFonts w:ascii="Calibri" w:eastAsia="Times New Roman" w:hAnsi="Calibri" w:cs="Times New Roman"/>
                        <w:color w:val="0563C1"/>
                        <w:u w:val="single"/>
                        <w:lang w:eastAsia="fr-FR"/>
                      </w:rPr>
                      <w:t>http://www.rst-sante-travail.fr/rst/pages-article/ArticleRST.html?ref=RST.TF%20111</w:t>
                    </w:r>
                  </w:hyperlink>
                </w:p>
              </w:tc>
            </w:tr>
          </w:tbl>
          <w:p w:rsidR="000E1404" w:rsidRPr="000E1404" w:rsidRDefault="000E1404" w:rsidP="000E1404">
            <w:pPr>
              <w:pStyle w:val="Paragraphedeliste"/>
              <w:numPr>
                <w:ilvl w:val="0"/>
                <w:numId w:val="33"/>
              </w:numPr>
              <w:jc w:val="center"/>
              <w:rPr>
                <w:rFonts w:ascii="Times New Roman" w:hAnsi="Times New Roman" w:cs="Times New Roman"/>
                <w:sz w:val="24"/>
                <w:szCs w:val="24"/>
              </w:rPr>
            </w:pPr>
            <w:r w:rsidRPr="000E1404">
              <w:rPr>
                <w:rFonts w:ascii="Times New Roman" w:hAnsi="Times New Roman" w:cs="Times New Roman"/>
                <w:sz w:val="24"/>
                <w:szCs w:val="24"/>
              </w:rPr>
              <w:t xml:space="preserve">Fiche </w:t>
            </w:r>
            <w:r w:rsidR="00086FAD">
              <w:rPr>
                <w:rFonts w:ascii="Times New Roman" w:hAnsi="Times New Roman" w:cs="Times New Roman"/>
                <w:sz w:val="24"/>
                <w:szCs w:val="24"/>
              </w:rPr>
              <w:t xml:space="preserve">médicoprofessionnelle </w:t>
            </w:r>
            <w:r w:rsidRPr="000E1404">
              <w:rPr>
                <w:rFonts w:ascii="Times New Roman" w:hAnsi="Times New Roman" w:cs="Times New Roman"/>
                <w:sz w:val="24"/>
                <w:szCs w:val="24"/>
              </w:rPr>
              <w:t xml:space="preserve">employé </w:t>
            </w:r>
            <w:proofErr w:type="spellStart"/>
            <w:r w:rsidRPr="000E1404">
              <w:rPr>
                <w:rFonts w:ascii="Times New Roman" w:hAnsi="Times New Roman" w:cs="Times New Roman"/>
                <w:sz w:val="24"/>
                <w:szCs w:val="24"/>
              </w:rPr>
              <w:t>libre service</w:t>
            </w:r>
            <w:proofErr w:type="spellEnd"/>
            <w:r w:rsidRPr="000E1404">
              <w:rPr>
                <w:rFonts w:ascii="Times New Roman" w:hAnsi="Times New Roman" w:cs="Times New Roman"/>
                <w:sz w:val="24"/>
                <w:szCs w:val="24"/>
              </w:rPr>
              <w:t xml:space="preserve"> </w:t>
            </w:r>
            <w:r w:rsidR="00E962B7">
              <w:rPr>
                <w:rFonts w:ascii="Times New Roman" w:hAnsi="Times New Roman" w:cs="Times New Roman"/>
                <w:sz w:val="24"/>
                <w:szCs w:val="24"/>
              </w:rPr>
              <w:t>fmpcisme.org</w:t>
            </w:r>
          </w:p>
        </w:tc>
      </w:tr>
      <w:tr w:rsidR="009F3B76" w:rsidTr="00553A2B">
        <w:trPr>
          <w:gridAfter w:val="1"/>
        </w:trPr>
        <w:tc>
          <w:tcPr>
            <w:tcW w:w="9212" w:type="dxa"/>
            <w:shd w:val="clear" w:color="auto" w:fill="92D050"/>
          </w:tcPr>
          <w:p w:rsidR="009F3B76" w:rsidRDefault="009F3B76" w:rsidP="00BA5332">
            <w:pPr>
              <w:jc w:val="center"/>
              <w:rPr>
                <w:b/>
              </w:rPr>
            </w:pPr>
            <w:r>
              <w:rPr>
                <w:b/>
              </w:rPr>
              <w:lastRenderedPageBreak/>
              <w:t>Aménagements envisageables (en fonction du handicap/faisabilité…)</w:t>
            </w:r>
            <w:r w:rsidR="005B7EDB">
              <w:rPr>
                <w:rStyle w:val="Appelnotedebasdep"/>
                <w:b/>
              </w:rPr>
              <w:footnoteReference w:id="4"/>
            </w:r>
          </w:p>
        </w:tc>
      </w:tr>
      <w:tr w:rsidR="009F3B76" w:rsidTr="00553A2B">
        <w:trPr>
          <w:gridAfter w:val="1"/>
        </w:trPr>
        <w:tc>
          <w:tcPr>
            <w:tcW w:w="9212" w:type="dxa"/>
          </w:tcPr>
          <w:p w:rsidR="00DE1253" w:rsidRPr="00DE1253" w:rsidRDefault="00DE1253" w:rsidP="00DE1253">
            <w:pPr>
              <w:pStyle w:val="Paragraphedeliste"/>
              <w:numPr>
                <w:ilvl w:val="0"/>
                <w:numId w:val="33"/>
              </w:numPr>
              <w:rPr>
                <w:b/>
              </w:rPr>
            </w:pPr>
            <w:r w:rsidRPr="00DE1253">
              <w:rPr>
                <w:b/>
              </w:rPr>
              <w:t>Moteur :</w:t>
            </w:r>
          </w:p>
          <w:p w:rsidR="00DE1253" w:rsidRPr="00DE1253" w:rsidRDefault="00DE1253" w:rsidP="00DE1253">
            <w:pPr>
              <w:pStyle w:val="Paragraphedeliste"/>
              <w:numPr>
                <w:ilvl w:val="0"/>
                <w:numId w:val="33"/>
              </w:numPr>
              <w:rPr>
                <w:b/>
              </w:rPr>
            </w:pPr>
            <w:r w:rsidRPr="00DE1253">
              <w:rPr>
                <w:b/>
              </w:rPr>
              <w:t>Sensoriel :</w:t>
            </w:r>
          </w:p>
          <w:p w:rsidR="00DE1253" w:rsidRPr="00DE1253" w:rsidRDefault="00DE1253" w:rsidP="00DE1253">
            <w:pPr>
              <w:pStyle w:val="Paragraphedeliste"/>
              <w:numPr>
                <w:ilvl w:val="0"/>
                <w:numId w:val="33"/>
              </w:numPr>
              <w:rPr>
                <w:b/>
              </w:rPr>
            </w:pPr>
            <w:r w:rsidRPr="00DE1253">
              <w:rPr>
                <w:b/>
              </w:rPr>
              <w:t>Mental :</w:t>
            </w:r>
          </w:p>
          <w:p w:rsidR="00DE1253" w:rsidRDefault="00DE1253" w:rsidP="00DE1253">
            <w:pPr>
              <w:pStyle w:val="Paragraphedeliste"/>
              <w:numPr>
                <w:ilvl w:val="0"/>
                <w:numId w:val="29"/>
              </w:numPr>
              <w:rPr>
                <w:rFonts w:ascii="Times New Roman" w:hAnsi="Times New Roman" w:cs="Times New Roman"/>
                <w:sz w:val="24"/>
                <w:szCs w:val="24"/>
              </w:rPr>
            </w:pPr>
            <w:r w:rsidRPr="00F06852">
              <w:rPr>
                <w:b/>
              </w:rPr>
              <w:t>Psychique :</w:t>
            </w:r>
          </w:p>
          <w:p w:rsidR="007550FB" w:rsidRDefault="007550FB" w:rsidP="007550FB">
            <w:pPr>
              <w:rPr>
                <w:rFonts w:ascii="Times New Roman" w:hAnsi="Times New Roman" w:cs="Times New Roman"/>
                <w:sz w:val="24"/>
                <w:szCs w:val="24"/>
              </w:rPr>
            </w:pPr>
          </w:p>
          <w:p w:rsidR="009F3B76" w:rsidRPr="007550FB" w:rsidRDefault="005B7EDB" w:rsidP="007550FB">
            <w:pPr>
              <w:rPr>
                <w:rFonts w:ascii="Times New Roman" w:hAnsi="Times New Roman" w:cs="Times New Roman"/>
                <w:sz w:val="24"/>
                <w:szCs w:val="24"/>
              </w:rPr>
            </w:pPr>
            <w:r>
              <w:rPr>
                <w:rFonts w:ascii="Times New Roman" w:hAnsi="Times New Roman" w:cs="Times New Roman"/>
                <w:sz w:val="24"/>
                <w:szCs w:val="24"/>
              </w:rPr>
              <w:t xml:space="preserve">Ex : </w:t>
            </w:r>
            <w:r w:rsidR="009F3B76" w:rsidRPr="007550FB">
              <w:rPr>
                <w:rFonts w:ascii="Times New Roman" w:hAnsi="Times New Roman" w:cs="Times New Roman"/>
                <w:sz w:val="24"/>
                <w:szCs w:val="24"/>
              </w:rPr>
              <w:t xml:space="preserve">Chez </w:t>
            </w:r>
            <w:proofErr w:type="spellStart"/>
            <w:r w:rsidR="009F3B76" w:rsidRPr="007550FB">
              <w:rPr>
                <w:rFonts w:ascii="Times New Roman" w:hAnsi="Times New Roman" w:cs="Times New Roman"/>
                <w:sz w:val="24"/>
                <w:szCs w:val="24"/>
              </w:rPr>
              <w:t>Walgreens</w:t>
            </w:r>
            <w:proofErr w:type="spellEnd"/>
            <w:r w:rsidR="009F3B76" w:rsidRPr="007550FB">
              <w:rPr>
                <w:rFonts w:ascii="Times New Roman" w:hAnsi="Times New Roman" w:cs="Times New Roman"/>
                <w:sz w:val="24"/>
                <w:szCs w:val="24"/>
              </w:rPr>
              <w:t>, première ch</w:t>
            </w:r>
            <w:r w:rsidR="00670606" w:rsidRPr="007550FB">
              <w:rPr>
                <w:rFonts w:ascii="Times New Roman" w:hAnsi="Times New Roman" w:cs="Times New Roman"/>
                <w:sz w:val="24"/>
                <w:szCs w:val="24"/>
              </w:rPr>
              <w:t>aine de drugstores américaine, l</w:t>
            </w:r>
            <w:r w:rsidR="009F3B76" w:rsidRPr="007550FB">
              <w:rPr>
                <w:rFonts w:ascii="Times New Roman" w:hAnsi="Times New Roman" w:cs="Times New Roman"/>
                <w:sz w:val="24"/>
                <w:szCs w:val="24"/>
              </w:rPr>
              <w:t xml:space="preserve">es concepteurs ont intégré des postes de travail flexibles, qui peuvent être adaptés à la taille du travailleur, et des écrans d’ordinateurs tactiles avec des </w:t>
            </w:r>
            <w:proofErr w:type="spellStart"/>
            <w:r w:rsidR="009F3B76" w:rsidRPr="007550FB">
              <w:rPr>
                <w:rFonts w:ascii="Times New Roman" w:hAnsi="Times New Roman" w:cs="Times New Roman"/>
                <w:sz w:val="24"/>
                <w:szCs w:val="24"/>
              </w:rPr>
              <w:t>icones</w:t>
            </w:r>
            <w:proofErr w:type="spellEnd"/>
            <w:r w:rsidR="009F3B76" w:rsidRPr="007550FB">
              <w:rPr>
                <w:rFonts w:ascii="Times New Roman" w:hAnsi="Times New Roman" w:cs="Times New Roman"/>
                <w:sz w:val="24"/>
                <w:szCs w:val="24"/>
              </w:rPr>
              <w:t xml:space="preserve"> et des signes de grand format et faciles à lire. Ces modifications ont permis à tous les employés, handicapés ou non, de travailler plus facilement, ce qui a amélioré l’efficacité de la production de plus de 20</w:t>
            </w:r>
            <w:r w:rsidR="00670606" w:rsidRPr="007550FB">
              <w:rPr>
                <w:rFonts w:ascii="Times New Roman" w:hAnsi="Times New Roman" w:cs="Times New Roman"/>
                <w:sz w:val="24"/>
                <w:szCs w:val="24"/>
              </w:rPr>
              <w:t>%</w:t>
            </w:r>
            <w:r w:rsidR="009F3B76" w:rsidRPr="007550FB">
              <w:rPr>
                <w:rFonts w:ascii="Times New Roman" w:hAnsi="Times New Roman" w:cs="Times New Roman"/>
                <w:sz w:val="24"/>
                <w:szCs w:val="24"/>
              </w:rPr>
              <w:t xml:space="preserve"> par rapport aux autres centres de distribution de </w:t>
            </w:r>
            <w:proofErr w:type="spellStart"/>
            <w:r w:rsidR="009F3B76" w:rsidRPr="007550FB">
              <w:rPr>
                <w:rFonts w:ascii="Times New Roman" w:hAnsi="Times New Roman" w:cs="Times New Roman"/>
                <w:sz w:val="24"/>
                <w:szCs w:val="24"/>
              </w:rPr>
              <w:t>Walgreens</w:t>
            </w:r>
            <w:proofErr w:type="spellEnd"/>
            <w:r w:rsidR="009F3B76" w:rsidRPr="007550FB">
              <w:rPr>
                <w:rFonts w:ascii="Times New Roman" w:hAnsi="Times New Roman" w:cs="Times New Roman"/>
                <w:sz w:val="24"/>
                <w:szCs w:val="24"/>
              </w:rPr>
              <w:t xml:space="preserve"> (source OIT)</w:t>
            </w:r>
          </w:p>
        </w:tc>
      </w:tr>
    </w:tbl>
    <w:p w:rsidR="00624936" w:rsidRDefault="00624936" w:rsidP="00624936">
      <w:pPr>
        <w:rPr>
          <w:b/>
        </w:rPr>
      </w:pPr>
    </w:p>
    <w:p w:rsidR="00624936" w:rsidRDefault="00624936" w:rsidP="00624936">
      <w:pPr>
        <w:rPr>
          <w:b/>
        </w:rPr>
      </w:pPr>
    </w:p>
    <w:p w:rsidR="00624936" w:rsidRDefault="00624936" w:rsidP="00624936">
      <w:pPr>
        <w:rPr>
          <w:b/>
        </w:rPr>
      </w:pPr>
    </w:p>
    <w:p w:rsidR="00624936" w:rsidRDefault="00624936" w:rsidP="00141799">
      <w:pPr>
        <w:jc w:val="center"/>
        <w:rPr>
          <w:b/>
        </w:rPr>
      </w:pPr>
    </w:p>
    <w:p w:rsidR="00136E73" w:rsidRDefault="00136E73" w:rsidP="00624936">
      <w:pPr>
        <w:rPr>
          <w:b/>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62" w:rsidRDefault="00002962" w:rsidP="00343251">
      <w:pPr>
        <w:spacing w:after="0" w:line="240" w:lineRule="auto"/>
      </w:pPr>
      <w:r>
        <w:separator/>
      </w:r>
    </w:p>
  </w:endnote>
  <w:endnote w:type="continuationSeparator" w:id="0">
    <w:p w:rsidR="00002962" w:rsidRDefault="00002962"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62" w:rsidRDefault="00002962" w:rsidP="00343251">
      <w:pPr>
        <w:spacing w:after="0" w:line="240" w:lineRule="auto"/>
      </w:pPr>
      <w:r>
        <w:separator/>
      </w:r>
    </w:p>
  </w:footnote>
  <w:footnote w:type="continuationSeparator" w:id="0">
    <w:p w:rsidR="00002962" w:rsidRDefault="00002962" w:rsidP="00343251">
      <w:pPr>
        <w:spacing w:after="0" w:line="240" w:lineRule="auto"/>
      </w:pPr>
      <w:r>
        <w:continuationSeparator/>
      </w:r>
    </w:p>
  </w:footnote>
  <w:footnote w:id="1">
    <w:p w:rsidR="00BC4F8C" w:rsidRDefault="00BC4F8C">
      <w:pPr>
        <w:pStyle w:val="Notedebasdepage"/>
      </w:pPr>
      <w:r>
        <w:rPr>
          <w:rStyle w:val="Appelnotedebasdep"/>
        </w:rPr>
        <w:footnoteRef/>
      </w:r>
      <w:r>
        <w:t xml:space="preserve"> Cf. grille de classification de la convention collective</w:t>
      </w:r>
    </w:p>
  </w:footnote>
  <w:footnote w:id="2">
    <w:p w:rsidR="0073530F" w:rsidRDefault="0073530F">
      <w:pPr>
        <w:pStyle w:val="Notedebasdepage"/>
      </w:pPr>
      <w:r>
        <w:rPr>
          <w:rStyle w:val="Appelnotedebasdep"/>
        </w:rPr>
        <w:footnoteRef/>
      </w:r>
      <w:r>
        <w:t xml:space="preserve"> Source : </w:t>
      </w:r>
      <w:r w:rsidRPr="0073530F">
        <w:t>Répertoire National des Certifications Professionnelles (RNCP)</w:t>
      </w:r>
      <w:r>
        <w:t xml:space="preserve"> 18121</w:t>
      </w:r>
    </w:p>
  </w:footnote>
  <w:footnote w:id="3">
    <w:p w:rsidR="005B7EDB" w:rsidRDefault="005B7EDB">
      <w:pPr>
        <w:pStyle w:val="Notedebasdepage"/>
      </w:pPr>
      <w:r>
        <w:rPr>
          <w:rStyle w:val="Appelnotedebasdep"/>
        </w:rPr>
        <w:footnoteRef/>
      </w:r>
      <w:r>
        <w:t xml:space="preserve"> </w:t>
      </w:r>
      <w:r w:rsidRPr="005B7EDB">
        <w:t>Sont ici recensées les principales actions de prévention pertinentes pour ce domaine d’activité, au-delà donc de celles qui viseraient spécifiquement une prévention adaptée aux salariés handicapés</w:t>
      </w:r>
    </w:p>
  </w:footnote>
  <w:footnote w:id="4">
    <w:p w:rsidR="005B7EDB" w:rsidRDefault="005B7EDB">
      <w:pPr>
        <w:pStyle w:val="Notedebasdepage"/>
      </w:pPr>
      <w:r>
        <w:rPr>
          <w:rStyle w:val="Appelnotedebasdep"/>
        </w:rPr>
        <w:footnoteRef/>
      </w:r>
      <w:r>
        <w:t xml:space="preserve"> </w:t>
      </w:r>
      <w:r w:rsidRPr="005B7EDB">
        <w:t>Partie à compléter et à joindre par les répondants au formulaire de réponse adressé au secrétariat d’Etat chargé des Personnes handicapées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69"/>
    <w:multiLevelType w:val="multilevel"/>
    <w:tmpl w:val="898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6580"/>
    <w:multiLevelType w:val="multilevel"/>
    <w:tmpl w:val="521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26051"/>
    <w:multiLevelType w:val="multilevel"/>
    <w:tmpl w:val="78C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95BB7"/>
    <w:multiLevelType w:val="multilevel"/>
    <w:tmpl w:val="699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92C9C"/>
    <w:multiLevelType w:val="multilevel"/>
    <w:tmpl w:val="4DC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91AC2"/>
    <w:multiLevelType w:val="hybridMultilevel"/>
    <w:tmpl w:val="5E869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587111"/>
    <w:multiLevelType w:val="multilevel"/>
    <w:tmpl w:val="E7B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B6F74"/>
    <w:multiLevelType w:val="multilevel"/>
    <w:tmpl w:val="E7C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82AD0"/>
    <w:multiLevelType w:val="multilevel"/>
    <w:tmpl w:val="680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E3463"/>
    <w:multiLevelType w:val="hybridMultilevel"/>
    <w:tmpl w:val="32125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EE2DF3"/>
    <w:multiLevelType w:val="multilevel"/>
    <w:tmpl w:val="F43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86CE4"/>
    <w:multiLevelType w:val="hybridMultilevel"/>
    <w:tmpl w:val="D8B4E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2D6657B5"/>
    <w:multiLevelType w:val="multilevel"/>
    <w:tmpl w:val="22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A4CB4"/>
    <w:multiLevelType w:val="multilevel"/>
    <w:tmpl w:val="BC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9D305E"/>
    <w:multiLevelType w:val="hybridMultilevel"/>
    <w:tmpl w:val="498CD07A"/>
    <w:lvl w:ilvl="0" w:tplc="732E34D6">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4A2752"/>
    <w:multiLevelType w:val="hybridMultilevel"/>
    <w:tmpl w:val="85AC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7D47F8"/>
    <w:multiLevelType w:val="hybridMultilevel"/>
    <w:tmpl w:val="56485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D137C6"/>
    <w:multiLevelType w:val="multilevel"/>
    <w:tmpl w:val="D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67F36"/>
    <w:multiLevelType w:val="multilevel"/>
    <w:tmpl w:val="086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60D66"/>
    <w:multiLevelType w:val="hybridMultilevel"/>
    <w:tmpl w:val="D1EE16BA"/>
    <w:lvl w:ilvl="0" w:tplc="F85EC004">
      <w:start w:val="65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F00509"/>
    <w:multiLevelType w:val="hybridMultilevel"/>
    <w:tmpl w:val="375E5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024B28"/>
    <w:multiLevelType w:val="multilevel"/>
    <w:tmpl w:val="247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22AA5"/>
    <w:multiLevelType w:val="hybridMultilevel"/>
    <w:tmpl w:val="CDC47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C233F8"/>
    <w:multiLevelType w:val="hybridMultilevel"/>
    <w:tmpl w:val="B7F02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0D10D1"/>
    <w:multiLevelType w:val="hybridMultilevel"/>
    <w:tmpl w:val="8D7AF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235F33"/>
    <w:multiLevelType w:val="multilevel"/>
    <w:tmpl w:val="F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D94582"/>
    <w:multiLevelType w:val="hybridMultilevel"/>
    <w:tmpl w:val="A2901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FC7533"/>
    <w:multiLevelType w:val="hybridMultilevel"/>
    <w:tmpl w:val="02E21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B03F8B"/>
    <w:multiLevelType w:val="hybridMultilevel"/>
    <w:tmpl w:val="FC0C1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8B725D"/>
    <w:multiLevelType w:val="hybridMultilevel"/>
    <w:tmpl w:val="5F6E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3F6838"/>
    <w:multiLevelType w:val="hybridMultilevel"/>
    <w:tmpl w:val="A64E7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1548D9"/>
    <w:multiLevelType w:val="multilevel"/>
    <w:tmpl w:val="EB2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3D2998"/>
    <w:multiLevelType w:val="multilevel"/>
    <w:tmpl w:val="C00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845DD"/>
    <w:multiLevelType w:val="multilevel"/>
    <w:tmpl w:val="DE5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7"/>
  </w:num>
  <w:num w:numId="4">
    <w:abstractNumId w:val="6"/>
  </w:num>
  <w:num w:numId="5">
    <w:abstractNumId w:val="33"/>
  </w:num>
  <w:num w:numId="6">
    <w:abstractNumId w:val="1"/>
  </w:num>
  <w:num w:numId="7">
    <w:abstractNumId w:val="27"/>
  </w:num>
  <w:num w:numId="8">
    <w:abstractNumId w:val="11"/>
  </w:num>
  <w:num w:numId="9">
    <w:abstractNumId w:val="17"/>
  </w:num>
  <w:num w:numId="10">
    <w:abstractNumId w:val="3"/>
  </w:num>
  <w:num w:numId="11">
    <w:abstractNumId w:val="12"/>
  </w:num>
  <w:num w:numId="12">
    <w:abstractNumId w:val="8"/>
  </w:num>
  <w:num w:numId="13">
    <w:abstractNumId w:val="21"/>
  </w:num>
  <w:num w:numId="14">
    <w:abstractNumId w:val="10"/>
  </w:num>
  <w:num w:numId="15">
    <w:abstractNumId w:val="25"/>
  </w:num>
  <w:num w:numId="16">
    <w:abstractNumId w:val="4"/>
  </w:num>
  <w:num w:numId="17">
    <w:abstractNumId w:val="2"/>
  </w:num>
  <w:num w:numId="18">
    <w:abstractNumId w:val="18"/>
  </w:num>
  <w:num w:numId="19">
    <w:abstractNumId w:val="31"/>
  </w:num>
  <w:num w:numId="20">
    <w:abstractNumId w:val="0"/>
  </w:num>
  <w:num w:numId="21">
    <w:abstractNumId w:val="32"/>
  </w:num>
  <w:num w:numId="22">
    <w:abstractNumId w:val="16"/>
  </w:num>
  <w:num w:numId="23">
    <w:abstractNumId w:val="30"/>
  </w:num>
  <w:num w:numId="24">
    <w:abstractNumId w:val="20"/>
  </w:num>
  <w:num w:numId="25">
    <w:abstractNumId w:val="29"/>
  </w:num>
  <w:num w:numId="26">
    <w:abstractNumId w:val="15"/>
  </w:num>
  <w:num w:numId="27">
    <w:abstractNumId w:val="5"/>
  </w:num>
  <w:num w:numId="28">
    <w:abstractNumId w:val="14"/>
  </w:num>
  <w:num w:numId="29">
    <w:abstractNumId w:val="23"/>
  </w:num>
  <w:num w:numId="30">
    <w:abstractNumId w:val="28"/>
  </w:num>
  <w:num w:numId="31">
    <w:abstractNumId w:val="9"/>
  </w:num>
  <w:num w:numId="32">
    <w:abstractNumId w:val="26"/>
  </w:num>
  <w:num w:numId="33">
    <w:abstractNumId w:val="22"/>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02962"/>
    <w:rsid w:val="0003259D"/>
    <w:rsid w:val="00036BCB"/>
    <w:rsid w:val="00051E24"/>
    <w:rsid w:val="0008304E"/>
    <w:rsid w:val="00086FAD"/>
    <w:rsid w:val="00090903"/>
    <w:rsid w:val="0009200D"/>
    <w:rsid w:val="000C24F2"/>
    <w:rsid w:val="000C3F95"/>
    <w:rsid w:val="000D423F"/>
    <w:rsid w:val="000E1404"/>
    <w:rsid w:val="000E3432"/>
    <w:rsid w:val="00122EA6"/>
    <w:rsid w:val="00123D60"/>
    <w:rsid w:val="00136E73"/>
    <w:rsid w:val="00141799"/>
    <w:rsid w:val="00160F2F"/>
    <w:rsid w:val="001B0571"/>
    <w:rsid w:val="001B26B6"/>
    <w:rsid w:val="001B3E4B"/>
    <w:rsid w:val="001C17BB"/>
    <w:rsid w:val="001E0D51"/>
    <w:rsid w:val="001E4928"/>
    <w:rsid w:val="001E5F2F"/>
    <w:rsid w:val="001F0331"/>
    <w:rsid w:val="001F24E1"/>
    <w:rsid w:val="001F4257"/>
    <w:rsid w:val="00207725"/>
    <w:rsid w:val="00245008"/>
    <w:rsid w:val="00273E45"/>
    <w:rsid w:val="00274078"/>
    <w:rsid w:val="0029206D"/>
    <w:rsid w:val="002A6E5E"/>
    <w:rsid w:val="002B583F"/>
    <w:rsid w:val="002C1616"/>
    <w:rsid w:val="002E03E6"/>
    <w:rsid w:val="002F0451"/>
    <w:rsid w:val="00331D3B"/>
    <w:rsid w:val="00343251"/>
    <w:rsid w:val="00355075"/>
    <w:rsid w:val="00360702"/>
    <w:rsid w:val="003645E2"/>
    <w:rsid w:val="0037467D"/>
    <w:rsid w:val="00391AB7"/>
    <w:rsid w:val="003961DC"/>
    <w:rsid w:val="0042213D"/>
    <w:rsid w:val="004408CD"/>
    <w:rsid w:val="0044748B"/>
    <w:rsid w:val="004720AD"/>
    <w:rsid w:val="004C0C93"/>
    <w:rsid w:val="004C2E9A"/>
    <w:rsid w:val="004C5B18"/>
    <w:rsid w:val="004F41A2"/>
    <w:rsid w:val="004F66EB"/>
    <w:rsid w:val="00505949"/>
    <w:rsid w:val="0053725F"/>
    <w:rsid w:val="00553A2B"/>
    <w:rsid w:val="0056263E"/>
    <w:rsid w:val="005A25CF"/>
    <w:rsid w:val="005B7EDB"/>
    <w:rsid w:val="005C092E"/>
    <w:rsid w:val="005D7B5C"/>
    <w:rsid w:val="00602673"/>
    <w:rsid w:val="00621D18"/>
    <w:rsid w:val="00624936"/>
    <w:rsid w:val="00627620"/>
    <w:rsid w:val="00670606"/>
    <w:rsid w:val="00674B53"/>
    <w:rsid w:val="00682C78"/>
    <w:rsid w:val="007168DD"/>
    <w:rsid w:val="00731D95"/>
    <w:rsid w:val="0073530F"/>
    <w:rsid w:val="00746255"/>
    <w:rsid w:val="00746E66"/>
    <w:rsid w:val="007550FB"/>
    <w:rsid w:val="007911E3"/>
    <w:rsid w:val="007A540A"/>
    <w:rsid w:val="007B2EF7"/>
    <w:rsid w:val="007C2413"/>
    <w:rsid w:val="00806B4F"/>
    <w:rsid w:val="00850DE0"/>
    <w:rsid w:val="00877EE8"/>
    <w:rsid w:val="008A4D3C"/>
    <w:rsid w:val="008C19AB"/>
    <w:rsid w:val="008D027F"/>
    <w:rsid w:val="008F5A2A"/>
    <w:rsid w:val="00936F88"/>
    <w:rsid w:val="00951686"/>
    <w:rsid w:val="009F056E"/>
    <w:rsid w:val="009F3B76"/>
    <w:rsid w:val="00A422E7"/>
    <w:rsid w:val="00A46BE0"/>
    <w:rsid w:val="00A6598B"/>
    <w:rsid w:val="00A73D73"/>
    <w:rsid w:val="00AA4A2E"/>
    <w:rsid w:val="00AB282D"/>
    <w:rsid w:val="00AC79FD"/>
    <w:rsid w:val="00AE1144"/>
    <w:rsid w:val="00AF4DE7"/>
    <w:rsid w:val="00B11058"/>
    <w:rsid w:val="00B20DA3"/>
    <w:rsid w:val="00B22556"/>
    <w:rsid w:val="00B53872"/>
    <w:rsid w:val="00BA5332"/>
    <w:rsid w:val="00BB00DA"/>
    <w:rsid w:val="00BC4F8C"/>
    <w:rsid w:val="00BF584A"/>
    <w:rsid w:val="00C060F2"/>
    <w:rsid w:val="00C232DD"/>
    <w:rsid w:val="00C25F3F"/>
    <w:rsid w:val="00C3506C"/>
    <w:rsid w:val="00CB4669"/>
    <w:rsid w:val="00CC09EB"/>
    <w:rsid w:val="00CC6879"/>
    <w:rsid w:val="00D01951"/>
    <w:rsid w:val="00D02365"/>
    <w:rsid w:val="00D45D8D"/>
    <w:rsid w:val="00D74BE8"/>
    <w:rsid w:val="00D76611"/>
    <w:rsid w:val="00DA35F5"/>
    <w:rsid w:val="00DA5FB1"/>
    <w:rsid w:val="00DB1F8C"/>
    <w:rsid w:val="00DB7DF7"/>
    <w:rsid w:val="00DD0093"/>
    <w:rsid w:val="00DE1253"/>
    <w:rsid w:val="00DF4B66"/>
    <w:rsid w:val="00E26490"/>
    <w:rsid w:val="00E372B6"/>
    <w:rsid w:val="00E427A7"/>
    <w:rsid w:val="00E45843"/>
    <w:rsid w:val="00E539B8"/>
    <w:rsid w:val="00E6122F"/>
    <w:rsid w:val="00E962B7"/>
    <w:rsid w:val="00EB5339"/>
    <w:rsid w:val="00EC27BD"/>
    <w:rsid w:val="00EF011F"/>
    <w:rsid w:val="00F229BE"/>
    <w:rsid w:val="00F257C7"/>
    <w:rsid w:val="00F335EB"/>
    <w:rsid w:val="00F666D8"/>
    <w:rsid w:val="00FA61BD"/>
    <w:rsid w:val="00FC6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4862">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0"/>
          <w:divBdr>
            <w:top w:val="none" w:sz="0" w:space="0" w:color="auto"/>
            <w:left w:val="none" w:sz="0" w:space="0" w:color="auto"/>
            <w:bottom w:val="none" w:sz="0" w:space="0" w:color="auto"/>
            <w:right w:val="none" w:sz="0" w:space="0" w:color="auto"/>
          </w:divBdr>
          <w:divsChild>
            <w:div w:id="548340028">
              <w:marLeft w:val="0"/>
              <w:marRight w:val="0"/>
              <w:marTop w:val="0"/>
              <w:marBottom w:val="0"/>
              <w:divBdr>
                <w:top w:val="none" w:sz="0" w:space="0" w:color="auto"/>
                <w:left w:val="none" w:sz="0" w:space="0" w:color="auto"/>
                <w:bottom w:val="none" w:sz="0" w:space="0" w:color="auto"/>
                <w:right w:val="none" w:sz="0" w:space="0" w:color="auto"/>
              </w:divBdr>
              <w:divsChild>
                <w:div w:id="594174443">
                  <w:marLeft w:val="0"/>
                  <w:marRight w:val="0"/>
                  <w:marTop w:val="0"/>
                  <w:marBottom w:val="0"/>
                  <w:divBdr>
                    <w:top w:val="none" w:sz="0" w:space="0" w:color="auto"/>
                    <w:left w:val="none" w:sz="0" w:space="0" w:color="auto"/>
                    <w:bottom w:val="none" w:sz="0" w:space="0" w:color="auto"/>
                    <w:right w:val="none" w:sz="0" w:space="0" w:color="auto"/>
                  </w:divBdr>
                  <w:divsChild>
                    <w:div w:id="115099000">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1327">
      <w:bodyDiv w:val="1"/>
      <w:marLeft w:val="0"/>
      <w:marRight w:val="0"/>
      <w:marTop w:val="0"/>
      <w:marBottom w:val="0"/>
      <w:divBdr>
        <w:top w:val="none" w:sz="0" w:space="0" w:color="auto"/>
        <w:left w:val="none" w:sz="0" w:space="0" w:color="auto"/>
        <w:bottom w:val="none" w:sz="0" w:space="0" w:color="auto"/>
        <w:right w:val="none" w:sz="0" w:space="0" w:color="auto"/>
      </w:divBdr>
      <w:divsChild>
        <w:div w:id="1731927450">
          <w:marLeft w:val="0"/>
          <w:marRight w:val="0"/>
          <w:marTop w:val="0"/>
          <w:marBottom w:val="0"/>
          <w:divBdr>
            <w:top w:val="none" w:sz="0" w:space="0" w:color="auto"/>
            <w:left w:val="none" w:sz="0" w:space="0" w:color="auto"/>
            <w:bottom w:val="none" w:sz="0" w:space="0" w:color="auto"/>
            <w:right w:val="none" w:sz="0" w:space="0" w:color="auto"/>
          </w:divBdr>
          <w:divsChild>
            <w:div w:id="99615246">
              <w:marLeft w:val="0"/>
              <w:marRight w:val="0"/>
              <w:marTop w:val="0"/>
              <w:marBottom w:val="0"/>
              <w:divBdr>
                <w:top w:val="none" w:sz="0" w:space="0" w:color="auto"/>
                <w:left w:val="none" w:sz="0" w:space="0" w:color="auto"/>
                <w:bottom w:val="none" w:sz="0" w:space="0" w:color="auto"/>
                <w:right w:val="none" w:sz="0" w:space="0" w:color="auto"/>
              </w:divBdr>
              <w:divsChild>
                <w:div w:id="2064862447">
                  <w:marLeft w:val="0"/>
                  <w:marRight w:val="0"/>
                  <w:marTop w:val="0"/>
                  <w:marBottom w:val="0"/>
                  <w:divBdr>
                    <w:top w:val="none" w:sz="0" w:space="0" w:color="auto"/>
                    <w:left w:val="none" w:sz="0" w:space="0" w:color="auto"/>
                    <w:bottom w:val="none" w:sz="0" w:space="0" w:color="auto"/>
                    <w:right w:val="none" w:sz="0" w:space="0" w:color="auto"/>
                  </w:divBdr>
                  <w:divsChild>
                    <w:div w:id="1973049316">
                      <w:marLeft w:val="0"/>
                      <w:marRight w:val="0"/>
                      <w:marTop w:val="0"/>
                      <w:marBottom w:val="0"/>
                      <w:divBdr>
                        <w:top w:val="none" w:sz="0" w:space="0" w:color="auto"/>
                        <w:left w:val="none" w:sz="0" w:space="0" w:color="auto"/>
                        <w:bottom w:val="none" w:sz="0" w:space="0" w:color="auto"/>
                        <w:right w:val="none" w:sz="0" w:space="0" w:color="auto"/>
                      </w:divBdr>
                      <w:divsChild>
                        <w:div w:id="672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57096">
      <w:bodyDiv w:val="1"/>
      <w:marLeft w:val="0"/>
      <w:marRight w:val="0"/>
      <w:marTop w:val="0"/>
      <w:marBottom w:val="0"/>
      <w:divBdr>
        <w:top w:val="none" w:sz="0" w:space="0" w:color="auto"/>
        <w:left w:val="none" w:sz="0" w:space="0" w:color="auto"/>
        <w:bottom w:val="none" w:sz="0" w:space="0" w:color="auto"/>
        <w:right w:val="none" w:sz="0" w:space="0" w:color="auto"/>
      </w:divBdr>
      <w:divsChild>
        <w:div w:id="84040498">
          <w:marLeft w:val="0"/>
          <w:marRight w:val="0"/>
          <w:marTop w:val="0"/>
          <w:marBottom w:val="0"/>
          <w:divBdr>
            <w:top w:val="none" w:sz="0" w:space="0" w:color="auto"/>
            <w:left w:val="none" w:sz="0" w:space="0" w:color="auto"/>
            <w:bottom w:val="none" w:sz="0" w:space="0" w:color="auto"/>
            <w:right w:val="none" w:sz="0" w:space="0" w:color="auto"/>
          </w:divBdr>
          <w:divsChild>
            <w:div w:id="1231581208">
              <w:marLeft w:val="0"/>
              <w:marRight w:val="0"/>
              <w:marTop w:val="0"/>
              <w:marBottom w:val="0"/>
              <w:divBdr>
                <w:top w:val="none" w:sz="0" w:space="0" w:color="auto"/>
                <w:left w:val="none" w:sz="0" w:space="0" w:color="auto"/>
                <w:bottom w:val="none" w:sz="0" w:space="0" w:color="auto"/>
                <w:right w:val="none" w:sz="0" w:space="0" w:color="auto"/>
              </w:divBdr>
              <w:divsChild>
                <w:div w:id="1770277555">
                  <w:marLeft w:val="0"/>
                  <w:marRight w:val="0"/>
                  <w:marTop w:val="0"/>
                  <w:marBottom w:val="0"/>
                  <w:divBdr>
                    <w:top w:val="none" w:sz="0" w:space="0" w:color="auto"/>
                    <w:left w:val="none" w:sz="0" w:space="0" w:color="auto"/>
                    <w:bottom w:val="none" w:sz="0" w:space="0" w:color="auto"/>
                    <w:right w:val="none" w:sz="0" w:space="0" w:color="auto"/>
                  </w:divBdr>
                  <w:divsChild>
                    <w:div w:id="54933327">
                      <w:marLeft w:val="0"/>
                      <w:marRight w:val="0"/>
                      <w:marTop w:val="0"/>
                      <w:marBottom w:val="0"/>
                      <w:divBdr>
                        <w:top w:val="none" w:sz="0" w:space="0" w:color="auto"/>
                        <w:left w:val="none" w:sz="0" w:space="0" w:color="auto"/>
                        <w:bottom w:val="none" w:sz="0" w:space="0" w:color="auto"/>
                        <w:right w:val="none" w:sz="0" w:space="0" w:color="auto"/>
                      </w:divBdr>
                      <w:divsChild>
                        <w:div w:id="1887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1876">
      <w:bodyDiv w:val="1"/>
      <w:marLeft w:val="0"/>
      <w:marRight w:val="0"/>
      <w:marTop w:val="0"/>
      <w:marBottom w:val="0"/>
      <w:divBdr>
        <w:top w:val="none" w:sz="0" w:space="0" w:color="auto"/>
        <w:left w:val="none" w:sz="0" w:space="0" w:color="auto"/>
        <w:bottom w:val="none" w:sz="0" w:space="0" w:color="auto"/>
        <w:right w:val="none" w:sz="0" w:space="0" w:color="auto"/>
      </w:divBdr>
      <w:divsChild>
        <w:div w:id="754715728">
          <w:marLeft w:val="0"/>
          <w:marRight w:val="0"/>
          <w:marTop w:val="0"/>
          <w:marBottom w:val="0"/>
          <w:divBdr>
            <w:top w:val="none" w:sz="0" w:space="0" w:color="auto"/>
            <w:left w:val="none" w:sz="0" w:space="0" w:color="auto"/>
            <w:bottom w:val="none" w:sz="0" w:space="0" w:color="auto"/>
            <w:right w:val="none" w:sz="0" w:space="0" w:color="auto"/>
          </w:divBdr>
          <w:divsChild>
            <w:div w:id="757403950">
              <w:marLeft w:val="0"/>
              <w:marRight w:val="0"/>
              <w:marTop w:val="0"/>
              <w:marBottom w:val="0"/>
              <w:divBdr>
                <w:top w:val="none" w:sz="0" w:space="0" w:color="auto"/>
                <w:left w:val="none" w:sz="0" w:space="0" w:color="auto"/>
                <w:bottom w:val="none" w:sz="0" w:space="0" w:color="auto"/>
                <w:right w:val="none" w:sz="0" w:space="0" w:color="auto"/>
              </w:divBdr>
              <w:divsChild>
                <w:div w:id="1487697182">
                  <w:marLeft w:val="0"/>
                  <w:marRight w:val="0"/>
                  <w:marTop w:val="0"/>
                  <w:marBottom w:val="0"/>
                  <w:divBdr>
                    <w:top w:val="none" w:sz="0" w:space="0" w:color="auto"/>
                    <w:left w:val="none" w:sz="0" w:space="0" w:color="auto"/>
                    <w:bottom w:val="none" w:sz="0" w:space="0" w:color="auto"/>
                    <w:right w:val="none" w:sz="0" w:space="0" w:color="auto"/>
                  </w:divBdr>
                  <w:divsChild>
                    <w:div w:id="1788739993">
                      <w:marLeft w:val="0"/>
                      <w:marRight w:val="0"/>
                      <w:marTop w:val="0"/>
                      <w:marBottom w:val="0"/>
                      <w:divBdr>
                        <w:top w:val="none" w:sz="0" w:space="0" w:color="auto"/>
                        <w:left w:val="none" w:sz="0" w:space="0" w:color="auto"/>
                        <w:bottom w:val="none" w:sz="0" w:space="0" w:color="auto"/>
                        <w:right w:val="none" w:sz="0" w:space="0" w:color="auto"/>
                      </w:divBdr>
                      <w:divsChild>
                        <w:div w:id="1598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sChild>
            <w:div w:id="1523324084">
              <w:marLeft w:val="0"/>
              <w:marRight w:val="0"/>
              <w:marTop w:val="0"/>
              <w:marBottom w:val="0"/>
              <w:divBdr>
                <w:top w:val="none" w:sz="0" w:space="0" w:color="auto"/>
                <w:left w:val="none" w:sz="0" w:space="0" w:color="auto"/>
                <w:bottom w:val="none" w:sz="0" w:space="0" w:color="auto"/>
                <w:right w:val="none" w:sz="0" w:space="0" w:color="auto"/>
              </w:divBdr>
              <w:divsChild>
                <w:div w:id="794716383">
                  <w:marLeft w:val="0"/>
                  <w:marRight w:val="0"/>
                  <w:marTop w:val="0"/>
                  <w:marBottom w:val="0"/>
                  <w:divBdr>
                    <w:top w:val="none" w:sz="0" w:space="0" w:color="auto"/>
                    <w:left w:val="none" w:sz="0" w:space="0" w:color="auto"/>
                    <w:bottom w:val="none" w:sz="0" w:space="0" w:color="auto"/>
                    <w:right w:val="none" w:sz="0" w:space="0" w:color="auto"/>
                  </w:divBdr>
                  <w:divsChild>
                    <w:div w:id="84157647">
                      <w:marLeft w:val="0"/>
                      <w:marRight w:val="0"/>
                      <w:marTop w:val="0"/>
                      <w:marBottom w:val="0"/>
                      <w:divBdr>
                        <w:top w:val="none" w:sz="0" w:space="0" w:color="auto"/>
                        <w:left w:val="none" w:sz="0" w:space="0" w:color="auto"/>
                        <w:bottom w:val="none" w:sz="0" w:space="0" w:color="auto"/>
                        <w:right w:val="none" w:sz="0" w:space="0" w:color="auto"/>
                      </w:divBdr>
                      <w:divsChild>
                        <w:div w:id="692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rs.fr/media.html?refINRS=ED%206265" TargetMode="External"/><Relationship Id="rId18" Type="http://schemas.openxmlformats.org/officeDocument/2006/relationships/hyperlink" Target="http://www.inrs.fr/media.html?refINRS=TF%20224" TargetMode="External"/><Relationship Id="rId3" Type="http://schemas.openxmlformats.org/officeDocument/2006/relationships/styles" Target="styles.xml"/><Relationship Id="rId21" Type="http://schemas.openxmlformats.org/officeDocument/2006/relationships/hyperlink" Target="http://www.rst-sante-travail.fr/rst/pages-article/ArticleRST.html?ref=RST.TF%20111" TargetMode="External"/><Relationship Id="rId7" Type="http://schemas.openxmlformats.org/officeDocument/2006/relationships/footnotes" Target="footnotes.xml"/><Relationship Id="rId12" Type="http://schemas.openxmlformats.org/officeDocument/2006/relationships/hyperlink" Target="http://www.inrs.fr/media.html?refINRS=ED%206264" TargetMode="External"/><Relationship Id="rId17" Type="http://schemas.openxmlformats.org/officeDocument/2006/relationships/hyperlink" Target="http://www.inrs.fr/media.html?refINRS=ED%206269" TargetMode="External"/><Relationship Id="rId2" Type="http://schemas.openxmlformats.org/officeDocument/2006/relationships/numbering" Target="numbering.xml"/><Relationship Id="rId16" Type="http://schemas.openxmlformats.org/officeDocument/2006/relationships/hyperlink" Target="http://www.inrs.fr/media.html?refINRS=ED%206268" TargetMode="External"/><Relationship Id="rId20" Type="http://schemas.openxmlformats.org/officeDocument/2006/relationships/hyperlink" Target="http://www.inrs.fr/media.html?refINRS=ND%2023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rs.fr/media.html?refINRS=ED%20625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rs.fr/media.html?refINRS=ED%206267" TargetMode="External"/><Relationship Id="rId23" Type="http://schemas.openxmlformats.org/officeDocument/2006/relationships/fontTable" Target="fontTable.xml"/><Relationship Id="rId10" Type="http://schemas.openxmlformats.org/officeDocument/2006/relationships/hyperlink" Target="http://www.rst-sante-travail.fr/rst/pages-article/ArticleRST.html?ref=RST.TF%20252" TargetMode="External"/><Relationship Id="rId19" Type="http://schemas.openxmlformats.org/officeDocument/2006/relationships/hyperlink" Target="http://www.inrs.fr/media.html?refINRS=TF%20207" TargetMode="External"/><Relationship Id="rId4" Type="http://schemas.microsoft.com/office/2007/relationships/stylesWithEffects" Target="stylesWithEffects.xml"/><Relationship Id="rId9" Type="http://schemas.openxmlformats.org/officeDocument/2006/relationships/hyperlink" Target="http://www.inrs.fr/media.html?refINRS=ED%206320" TargetMode="External"/><Relationship Id="rId14" Type="http://schemas.openxmlformats.org/officeDocument/2006/relationships/hyperlink" Target="http://www.inrs.fr/media.html?refINRS=ED%206266" TargetMode="External"/><Relationship Id="rId2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00B0-DCD9-4CC5-B0C5-6E291F2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1087</Words>
  <Characters>5983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27</cp:revision>
  <dcterms:created xsi:type="dcterms:W3CDTF">2019-02-08T15:20:00Z</dcterms:created>
  <dcterms:modified xsi:type="dcterms:W3CDTF">2019-03-21T10:09:00Z</dcterms:modified>
</cp:coreProperties>
</file>