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51" w:rsidRDefault="00624936" w:rsidP="00624936">
      <w:pPr>
        <w:jc w:val="center"/>
      </w:pPr>
      <w:r w:rsidRPr="00EF011F">
        <w:rPr>
          <w:b/>
          <w:sz w:val="32"/>
          <w:szCs w:val="32"/>
        </w:rPr>
        <w:t>Fiche technique</w:t>
      </w:r>
      <w:r w:rsidR="00343251" w:rsidRPr="00343251">
        <w:t xml:space="preserve"> </w:t>
      </w:r>
    </w:p>
    <w:p w:rsidR="00CC09EB" w:rsidRPr="00EF011F" w:rsidRDefault="00DD59CF" w:rsidP="00CC09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Transport routier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20DA3" w:rsidTr="00DE25A9">
        <w:tc>
          <w:tcPr>
            <w:tcW w:w="9212" w:type="dxa"/>
            <w:shd w:val="clear" w:color="auto" w:fill="92D050"/>
          </w:tcPr>
          <w:p w:rsidR="00B20DA3" w:rsidRDefault="005000F9" w:rsidP="00AA0F3E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20DA3">
              <w:rPr>
                <w:b/>
              </w:rPr>
              <w:t xml:space="preserve">omenclature </w:t>
            </w:r>
            <w:r w:rsidR="00AA0F3E">
              <w:rPr>
                <w:b/>
              </w:rPr>
              <w:t>PCS</w:t>
            </w:r>
            <w:r w:rsidR="00B20DA3">
              <w:rPr>
                <w:b/>
              </w:rPr>
              <w:t xml:space="preserve"> ESE</w:t>
            </w:r>
            <w:r>
              <w:rPr>
                <w:b/>
              </w:rPr>
              <w:t xml:space="preserve"> et codes NAF principaux</w:t>
            </w:r>
          </w:p>
        </w:tc>
      </w:tr>
      <w:tr w:rsidR="00B20DA3" w:rsidRPr="00B20DA3" w:rsidTr="00DE25A9">
        <w:tc>
          <w:tcPr>
            <w:tcW w:w="9212" w:type="dxa"/>
          </w:tcPr>
          <w:p w:rsidR="00DD59CF" w:rsidRDefault="005000F9" w:rsidP="00DD59CF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PCS ESE </w:t>
            </w:r>
            <w:r w:rsidR="00DD59CF" w:rsidRPr="00DD59CF">
              <w:rPr>
                <w:rFonts w:ascii="Times New Roman" w:hAnsi="Times New Roman" w:cs="Times New Roman"/>
                <w:sz w:val="24"/>
                <w:szCs w:val="24"/>
              </w:rPr>
              <w:t>641a : Conducteu</w:t>
            </w:r>
            <w:r w:rsidR="00DD59CF">
              <w:rPr>
                <w:rFonts w:ascii="Times New Roman" w:hAnsi="Times New Roman" w:cs="Times New Roman"/>
                <w:sz w:val="24"/>
                <w:szCs w:val="24"/>
              </w:rPr>
              <w:t>rs routiers et grands routiers.</w:t>
            </w:r>
          </w:p>
          <w:p w:rsidR="00DD59CF" w:rsidRPr="00DD59CF" w:rsidRDefault="005000F9" w:rsidP="00DD59CF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PCS ESE </w:t>
            </w:r>
            <w:r w:rsidR="00DD59CF" w:rsidRPr="00DD59CF">
              <w:rPr>
                <w:rFonts w:ascii="Times New Roman" w:hAnsi="Times New Roman" w:cs="Times New Roman"/>
                <w:sz w:val="24"/>
                <w:szCs w:val="24"/>
              </w:rPr>
              <w:t>641b : Conducteurs de véhicules r</w:t>
            </w:r>
            <w:r w:rsidR="00DD59CF">
              <w:rPr>
                <w:rFonts w:ascii="Times New Roman" w:hAnsi="Times New Roman" w:cs="Times New Roman"/>
                <w:sz w:val="24"/>
                <w:szCs w:val="24"/>
              </w:rPr>
              <w:t>outiers de transport en commun</w:t>
            </w:r>
          </w:p>
          <w:p w:rsidR="004F66EB" w:rsidRDefault="005000F9" w:rsidP="00DD59CF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PCS ESE </w:t>
            </w:r>
            <w:r w:rsidR="00DD59CF" w:rsidRPr="00DD59CF">
              <w:rPr>
                <w:rFonts w:ascii="Times New Roman" w:hAnsi="Times New Roman" w:cs="Times New Roman"/>
                <w:sz w:val="24"/>
                <w:szCs w:val="24"/>
              </w:rPr>
              <w:t>643a</w:t>
            </w:r>
            <w:r w:rsidR="00DD59CF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DD59CF" w:rsidRPr="00DD59CF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nducteurs livreurs et coursiers</w:t>
            </w:r>
          </w:p>
          <w:p w:rsidR="005000F9" w:rsidRPr="002000B2" w:rsidRDefault="005000F9" w:rsidP="00DD59CF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Codes NAF : 49.39A (transports routiers réguliers de voyageurs) ; 49.39B (autres transports routiers de voyageurs) ; 49.41A (transports routiers de fret interurbain) ; 49.41B (transports routiers de fret de proximité) ; 49.41C (location de camions avec chauffeurs) ; </w:t>
            </w:r>
            <w:r w:rsidR="000D7DF3" w:rsidRPr="00DB37B7">
              <w:rPr>
                <w:rFonts w:ascii="Times New Roman" w:hAnsi="Times New Roman" w:cs="Times New Roman"/>
                <w:sz w:val="24"/>
                <w:szCs w:val="24"/>
              </w:rPr>
              <w:t xml:space="preserve">49.31Z (transports urbains et suburbains de voyageurs) 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49.42Z (services de déménagement) ; 52.29A (messagerie, fret express)  </w:t>
            </w:r>
          </w:p>
        </w:tc>
      </w:tr>
      <w:tr w:rsidR="00471FE6" w:rsidRPr="00B20DA3" w:rsidTr="00DE25A9">
        <w:tc>
          <w:tcPr>
            <w:tcW w:w="9212" w:type="dxa"/>
            <w:shd w:val="clear" w:color="auto" w:fill="92D050"/>
          </w:tcPr>
          <w:p w:rsidR="00471FE6" w:rsidRPr="005000F9" w:rsidRDefault="00471FE6" w:rsidP="00471FE6">
            <w:pPr>
              <w:pStyle w:val="Paragraphedeliste"/>
              <w:jc w:val="center"/>
              <w:rPr>
                <w:rFonts w:ascii="Times New Roman" w:hAnsi="Times New Roman" w:cs="Times New Roman"/>
              </w:rPr>
            </w:pPr>
            <w:r w:rsidRPr="005000F9">
              <w:rPr>
                <w:rFonts w:ascii="Times New Roman" w:eastAsia="Times New Roman" w:hAnsi="Times New Roman" w:cs="Times New Roman"/>
                <w:b/>
                <w:lang w:eastAsia="fr-FR"/>
              </w:rPr>
              <w:t>Nombre de TH employés sur des emplois ECAP (2017)</w:t>
            </w:r>
          </w:p>
        </w:tc>
      </w:tr>
      <w:tr w:rsidR="00471FE6" w:rsidRPr="00B20DA3" w:rsidTr="00DE25A9">
        <w:tc>
          <w:tcPr>
            <w:tcW w:w="9212" w:type="dxa"/>
          </w:tcPr>
          <w:p w:rsidR="00471FE6" w:rsidRDefault="00471FE6" w:rsidP="00471FE6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9CF">
              <w:rPr>
                <w:rFonts w:ascii="Times New Roman" w:hAnsi="Times New Roman" w:cs="Times New Roman"/>
                <w:sz w:val="24"/>
                <w:szCs w:val="24"/>
              </w:rPr>
              <w:t xml:space="preserve">641a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8826</w:t>
            </w:r>
          </w:p>
          <w:p w:rsidR="00471FE6" w:rsidRDefault="00471FE6" w:rsidP="00471FE6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9CF">
              <w:rPr>
                <w:rFonts w:ascii="Times New Roman" w:hAnsi="Times New Roman" w:cs="Times New Roman"/>
                <w:sz w:val="24"/>
                <w:szCs w:val="24"/>
              </w:rPr>
              <w:t xml:space="preserve">641b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6262</w:t>
            </w:r>
          </w:p>
          <w:p w:rsidR="00471FE6" w:rsidRPr="00DD59CF" w:rsidRDefault="00471FE6" w:rsidP="00471FE6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D59CF">
              <w:rPr>
                <w:rFonts w:ascii="Times New Roman" w:hAnsi="Times New Roman" w:cs="Times New Roman"/>
                <w:sz w:val="24"/>
                <w:szCs w:val="24"/>
              </w:rPr>
              <w:t>643a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8229</w:t>
            </w:r>
          </w:p>
        </w:tc>
      </w:tr>
      <w:tr w:rsidR="00AA7BAD" w:rsidTr="00DE25A9">
        <w:tc>
          <w:tcPr>
            <w:tcW w:w="9212" w:type="dxa"/>
            <w:shd w:val="clear" w:color="auto" w:fill="92D050"/>
          </w:tcPr>
          <w:p w:rsidR="00AA7BAD" w:rsidRDefault="000D7DF3" w:rsidP="000D7DF3">
            <w:pPr>
              <w:tabs>
                <w:tab w:val="left" w:pos="1840"/>
                <w:tab w:val="left" w:pos="3590"/>
                <w:tab w:val="center" w:pos="4498"/>
              </w:tabs>
              <w:rPr>
                <w:b/>
              </w:rPr>
            </w:pPr>
            <w:r>
              <w:rPr>
                <w:b/>
              </w:rPr>
              <w:tab/>
              <w:t>Principales c</w:t>
            </w:r>
            <w:r w:rsidR="00AA7BAD">
              <w:rPr>
                <w:b/>
              </w:rPr>
              <w:t>onvention</w:t>
            </w:r>
            <w:r>
              <w:rPr>
                <w:b/>
              </w:rPr>
              <w:t>s</w:t>
            </w:r>
            <w:r w:rsidR="00AA7BAD">
              <w:rPr>
                <w:b/>
              </w:rPr>
              <w:t xml:space="preserve"> collective</w:t>
            </w:r>
            <w:r>
              <w:rPr>
                <w:b/>
              </w:rPr>
              <w:t>s</w:t>
            </w:r>
            <w:r w:rsidR="005000F9">
              <w:t xml:space="preserve"> </w:t>
            </w:r>
            <w:r w:rsidR="005000F9" w:rsidRPr="005000F9">
              <w:rPr>
                <w:b/>
              </w:rPr>
              <w:t>et représentativité parmi les ECAP</w:t>
            </w:r>
          </w:p>
        </w:tc>
      </w:tr>
      <w:tr w:rsidR="00AA7BAD" w:rsidTr="00DE25A9">
        <w:tc>
          <w:tcPr>
            <w:tcW w:w="9212" w:type="dxa"/>
            <w:shd w:val="clear" w:color="auto" w:fill="auto"/>
          </w:tcPr>
          <w:p w:rsidR="000D7DF3" w:rsidRDefault="003A5A6D" w:rsidP="000D7DF3">
            <w:pPr>
              <w:pStyle w:val="Paragraphedelist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602">
              <w:rPr>
                <w:rFonts w:ascii="Times New Roman" w:hAnsi="Times New Roman" w:cs="Times New Roman"/>
                <w:sz w:val="24"/>
                <w:szCs w:val="24"/>
              </w:rPr>
              <w:t xml:space="preserve">Convention collective nationale des transports routiers </w:t>
            </w:r>
          </w:p>
          <w:p w:rsidR="00AA7BAD" w:rsidRDefault="003A5A6D" w:rsidP="000D7DF3">
            <w:pPr>
              <w:pStyle w:val="Paragraphedelist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7602">
              <w:rPr>
                <w:rFonts w:ascii="Times New Roman" w:hAnsi="Times New Roman" w:cs="Times New Roman"/>
                <w:sz w:val="24"/>
                <w:szCs w:val="24"/>
              </w:rPr>
              <w:t>et activités auxiliaires du transport (IDCC 16)</w:t>
            </w:r>
            <w:r w:rsidR="000D7DF3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0D7DF3" w:rsidRPr="00630372">
              <w:rPr>
                <w:rFonts w:ascii="Times New Roman" w:hAnsi="Times New Roman" w:cs="Times New Roman"/>
                <w:sz w:val="24"/>
                <w:szCs w:val="24"/>
              </w:rPr>
              <w:t>Organisation patronale signataire</w:t>
            </w:r>
            <w:r w:rsidR="000D7DF3" w:rsidRPr="00E67602">
              <w:rPr>
                <w:rFonts w:ascii="Times New Roman" w:hAnsi="Times New Roman" w:cs="Times New Roman"/>
                <w:sz w:val="24"/>
                <w:szCs w:val="24"/>
              </w:rPr>
              <w:t> : Union des fédérations de transport (UFT)</w:t>
            </w:r>
          </w:p>
          <w:p w:rsidR="000D7DF3" w:rsidRPr="000D7DF3" w:rsidRDefault="000D7DF3" w:rsidP="000D7DF3">
            <w:pPr>
              <w:pStyle w:val="Paragraphedeliste"/>
              <w:numPr>
                <w:ilvl w:val="0"/>
                <w:numId w:val="35"/>
              </w:numPr>
            </w:pPr>
            <w:r w:rsidRPr="00DB37B7">
              <w:rPr>
                <w:rFonts w:ascii="Times New Roman" w:hAnsi="Times New Roman" w:cs="Times New Roman"/>
                <w:sz w:val="24"/>
                <w:szCs w:val="24"/>
              </w:rPr>
              <w:t>Convention collective nationale des réseaux de transports publics urbains de voyageurs (IDCC 1424) – Organisation patronale signataire : Union des transports publics et ferroviaires (UTP)</w:t>
            </w:r>
          </w:p>
          <w:p w:rsidR="005000F9" w:rsidRDefault="001A03BF" w:rsidP="000D7DF3">
            <w:pPr>
              <w:pStyle w:val="Paragraphedelist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 xml:space="preserve"> % des ECAP  déclarés au titre du PCS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641a (conducteurs routiers et grands routiers) 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 xml:space="preserve"> proviennent d’entreprises relevant du code NAF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49.41A et 21,8% d’entreprises relevant du code NAF 49.41B (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>Transports routiers de fret de proximité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03BF" w:rsidRDefault="001A03BF" w:rsidP="000D7DF3">
            <w:pPr>
              <w:pStyle w:val="Paragraphedelist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 xml:space="preserve"> % des ECAP  déclarés au titre du PCS 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 xml:space="preserve"> (conducteurs de véhicule routier de transport en commun)  proviennent d’entreprises relevant du code NAF 49.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31Z</w:t>
            </w:r>
            <w:r w:rsidR="00CD425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D425F" w:rsidRPr="00CD425F">
              <w:rPr>
                <w:rFonts w:ascii="Times New Roman" w:hAnsi="Times New Roman" w:cs="Times New Roman"/>
                <w:sz w:val="24"/>
                <w:szCs w:val="24"/>
              </w:rPr>
              <w:t>Transports urbains et suburbains de voyageurs</w:t>
            </w:r>
            <w:r w:rsidR="00CD42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 xml:space="preserve"> et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>% d’entreprises relevant du code NAF 49.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39A</w:t>
            </w:r>
            <w:r w:rsidRPr="001A03BF">
              <w:rPr>
                <w:rFonts w:ascii="Times New Roman" w:hAnsi="Times New Roman" w:cs="Times New Roman"/>
                <w:sz w:val="24"/>
                <w:szCs w:val="24"/>
              </w:rPr>
              <w:t xml:space="preserve"> (Transports routiers réguliers de voyageurs)</w:t>
            </w:r>
          </w:p>
          <w:p w:rsidR="00CD425F" w:rsidRPr="00E67602" w:rsidRDefault="00CD425F" w:rsidP="000D7DF3">
            <w:pPr>
              <w:pStyle w:val="Paragraphedeliste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4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425F">
              <w:rPr>
                <w:rFonts w:ascii="Times New Roman" w:hAnsi="Times New Roman" w:cs="Times New Roman"/>
                <w:sz w:val="24"/>
                <w:szCs w:val="24"/>
              </w:rPr>
              <w:t xml:space="preserve"> % des ECAP  déclarés au titre du PCS 643a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425F">
              <w:rPr>
                <w:rFonts w:ascii="Times New Roman" w:hAnsi="Times New Roman" w:cs="Times New Roman"/>
                <w:sz w:val="24"/>
                <w:szCs w:val="24"/>
              </w:rPr>
              <w:t>Conducteurs livreur coursier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D425F">
              <w:rPr>
                <w:rFonts w:ascii="Times New Roman" w:hAnsi="Times New Roman" w:cs="Times New Roman"/>
                <w:sz w:val="24"/>
                <w:szCs w:val="24"/>
              </w:rPr>
              <w:t xml:space="preserve">  proviennent d’entreprises relevant du code NAF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53.10Z</w:t>
            </w:r>
            <w:r w:rsidRPr="00CD4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425F">
              <w:rPr>
                <w:rFonts w:ascii="Times New Roman" w:hAnsi="Times New Roman" w:cs="Times New Roman"/>
                <w:sz w:val="24"/>
                <w:szCs w:val="24"/>
              </w:rPr>
              <w:t>Activités de poste dans le cadre d'une obligation de service universel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0DA3" w:rsidTr="00DE25A9">
        <w:tc>
          <w:tcPr>
            <w:tcW w:w="9212" w:type="dxa"/>
            <w:shd w:val="clear" w:color="auto" w:fill="92D050"/>
          </w:tcPr>
          <w:p w:rsidR="00B20DA3" w:rsidRDefault="00BA5332" w:rsidP="00BA5332">
            <w:pPr>
              <w:jc w:val="center"/>
              <w:rPr>
                <w:b/>
              </w:rPr>
            </w:pPr>
            <w:r>
              <w:rPr>
                <w:b/>
              </w:rPr>
              <w:t>Conditions particulières d’accès à l’emploi</w:t>
            </w:r>
          </w:p>
        </w:tc>
      </w:tr>
      <w:tr w:rsidR="00B20DA3" w:rsidTr="00DE25A9">
        <w:tc>
          <w:tcPr>
            <w:tcW w:w="9212" w:type="dxa"/>
          </w:tcPr>
          <w:p w:rsidR="00D31DD1" w:rsidRDefault="00D31DD1" w:rsidP="00D31DD1">
            <w:pPr>
              <w:pStyle w:val="Textbody"/>
              <w:rPr>
                <w:rFonts w:ascii="Times New Roman" w:hAnsi="Times New Roman" w:cs="Times New Roman"/>
              </w:rPr>
            </w:pPr>
            <w:r w:rsidRPr="00D31DD1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DD1">
              <w:rPr>
                <w:rFonts w:ascii="Times New Roman" w:hAnsi="Times New Roman" w:cs="Times New Roman"/>
              </w:rPr>
              <w:t xml:space="preserve">Directive 2006 126/CE relative au permis de conduire (modifiée par la directive du 1er juillet 2014) </w:t>
            </w:r>
          </w:p>
          <w:p w:rsidR="00CD425F" w:rsidRDefault="00BB0AB2" w:rsidP="00D31DD1">
            <w:pPr>
              <w:pStyle w:val="Textbody"/>
              <w:rPr>
                <w:rFonts w:ascii="Times New Roman" w:hAnsi="Times New Roman" w:cs="Times New Roman"/>
              </w:rPr>
            </w:pPr>
            <w:hyperlink r:id="rId9" w:history="1">
              <w:r w:rsidR="00CD425F" w:rsidRPr="005C651F">
                <w:rPr>
                  <w:rStyle w:val="Lienhypertexte"/>
                  <w:rFonts w:ascii="Times New Roman" w:hAnsi="Times New Roman" w:cs="Times New Roman"/>
                </w:rPr>
                <w:t>https://www.legifrance.gouv.fr/affichTexte.do?cidTexte=JORFTEXT000000696475&amp;categorieLien=id</w:t>
              </w:r>
            </w:hyperlink>
          </w:p>
          <w:p w:rsidR="00D31DD1" w:rsidRDefault="00D31DD1" w:rsidP="00D31DD1">
            <w:pPr>
              <w:pStyle w:val="Textbody"/>
              <w:rPr>
                <w:rFonts w:ascii="Times New Roman" w:hAnsi="Times New Roman" w:cs="Times New Roman"/>
              </w:rPr>
            </w:pPr>
            <w:r w:rsidRPr="00D31DD1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DD1">
              <w:rPr>
                <w:rFonts w:ascii="Times New Roman" w:hAnsi="Times New Roman" w:cs="Times New Roman"/>
              </w:rPr>
              <w:t>Article 221-10 et 221-11 du code de la route</w:t>
            </w:r>
          </w:p>
          <w:p w:rsidR="00CD425F" w:rsidRDefault="00D31DD1" w:rsidP="00CD425F">
            <w:pPr>
              <w:pStyle w:val="Textbody"/>
              <w:rPr>
                <w:rFonts w:ascii="Times New Roman" w:hAnsi="Times New Roman" w:cs="Times New Roman"/>
              </w:rPr>
            </w:pPr>
            <w:r w:rsidRPr="00D31DD1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DD1">
              <w:rPr>
                <w:rFonts w:ascii="Times New Roman" w:hAnsi="Times New Roman" w:cs="Times New Roman"/>
              </w:rPr>
              <w:t xml:space="preserve">Arrêté du 21 décembre 2005 fixant la liste des affections médicales incompatibles avec l'obtention ou le maintien du permis de conduire ou pouvant donner lieu à la délivrance de permis de conduire de durée de validité limitée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31D95" w:rsidRPr="00731D95" w:rsidTr="00EC37CC">
              <w:tc>
                <w:tcPr>
                  <w:tcW w:w="236" w:type="dxa"/>
                </w:tcPr>
                <w:p w:rsidR="00731D95" w:rsidRPr="00731D95" w:rsidRDefault="00731D95" w:rsidP="00731D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20DA3" w:rsidRDefault="00B20DA3" w:rsidP="004F66EB">
            <w:pPr>
              <w:rPr>
                <w:b/>
              </w:rPr>
            </w:pPr>
          </w:p>
        </w:tc>
      </w:tr>
      <w:tr w:rsidR="00B20DA3" w:rsidTr="00DE25A9">
        <w:tc>
          <w:tcPr>
            <w:tcW w:w="9212" w:type="dxa"/>
            <w:shd w:val="clear" w:color="auto" w:fill="92D050"/>
          </w:tcPr>
          <w:p w:rsidR="00B20DA3" w:rsidRDefault="00DA5FB1" w:rsidP="002000B2">
            <w:pPr>
              <w:jc w:val="center"/>
              <w:rPr>
                <w:b/>
              </w:rPr>
            </w:pPr>
            <w:r>
              <w:rPr>
                <w:b/>
              </w:rPr>
              <w:t>Description de l’activité</w:t>
            </w:r>
          </w:p>
        </w:tc>
      </w:tr>
      <w:tr w:rsidR="00B20DA3" w:rsidTr="00DE25A9">
        <w:tc>
          <w:tcPr>
            <w:tcW w:w="9212" w:type="dxa"/>
          </w:tcPr>
          <w:p w:rsidR="00D31DD1" w:rsidRPr="00D31DD1" w:rsidRDefault="00D31DD1" w:rsidP="00D31DD1">
            <w:pPr>
              <w:pStyle w:val="Paragraphedeliste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1">
              <w:rPr>
                <w:rFonts w:ascii="Times New Roman" w:hAnsi="Times New Roman" w:cs="Times New Roman"/>
                <w:b/>
                <w:sz w:val="24"/>
                <w:szCs w:val="24"/>
              </w:rPr>
              <w:t>Conducteurs routiers et grands routiers 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t xml:space="preserve">: salariés préparant et effectuant le transport de marchandises dans un véhicule lourd (poids total autorisé en charge 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supérieur à 3,5 t). Ils sont responsables de l'arrimage et de leur chargement. Ils participent parfois à l'entretien courant de leur véhicule : chauffeur camion, poids lourd, routier : transport de marchandises, chauffeur déménageur, grumier, livreur, magasinier,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nducteur routier international ;</w:t>
            </w:r>
          </w:p>
          <w:p w:rsidR="00B20DA3" w:rsidRDefault="00D31DD1" w:rsidP="00D31DD1">
            <w:pPr>
              <w:pStyle w:val="Paragraphedeliste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1">
              <w:rPr>
                <w:rFonts w:ascii="Times New Roman" w:hAnsi="Times New Roman" w:cs="Times New Roman"/>
                <w:b/>
                <w:sz w:val="24"/>
                <w:szCs w:val="24"/>
              </w:rPr>
              <w:t>Conducteurs de véhicule routier de transport en commun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t> : salariés conduisant un autobus ou un autocar (au moins 10 places), en ville ou à la campagne. Ils effectuent en général un trajet régulier. Ils perçoivent souvent le prix des places et renseignent la clientèle : Chauffeur de bus, conducteur de car, chauffeur de ramassage, conducteur de tourisme, trolleybus, voyageurs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  <w:p w:rsidR="00D31DD1" w:rsidRPr="002000B2" w:rsidRDefault="00D31DD1" w:rsidP="00D31DD1">
            <w:pPr>
              <w:pStyle w:val="Paragraphedeliste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1DD1">
              <w:rPr>
                <w:rFonts w:ascii="Times New Roman" w:hAnsi="Times New Roman" w:cs="Times New Roman"/>
                <w:b/>
                <w:sz w:val="24"/>
                <w:szCs w:val="24"/>
              </w:rPr>
              <w:t>Conducteurs livreurs, coursiers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t xml:space="preserve"> : salariés qui conduisent des véhicules légers (poids </w:t>
            </w:r>
            <w:r w:rsidR="000D7DF3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t xml:space="preserve">autorisé en charge </w:t>
            </w:r>
            <w:r w:rsidR="000D7DF3">
              <w:rPr>
                <w:rFonts w:ascii="Times New Roman" w:hAnsi="Times New Roman" w:cs="Times New Roman"/>
                <w:sz w:val="24"/>
                <w:szCs w:val="24"/>
              </w:rPr>
              <w:t>d’</w:t>
            </w:r>
            <w:r w:rsidRPr="00D31DD1">
              <w:rPr>
                <w:rFonts w:ascii="Times New Roman" w:hAnsi="Times New Roman" w:cs="Times New Roman"/>
                <w:sz w:val="24"/>
                <w:szCs w:val="24"/>
              </w:rPr>
              <w:t>au plus 3,5 t) pour enlever ou livrer des marchandises, en général à faible distance. Ils ont la responsabilité de leur chargement et des opérations commerciales et encaissement qui peuvent être liés à la livraison : chauffeur livreur, conducteur livreur, coursier, aide chauffeur, aide livreur,  chauffeur de ramassage marchandises, vendeur, commissionnaire,  messagerie, distributeur de journaux, de prospectus, livreur en alimentation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;</w:t>
            </w:r>
          </w:p>
        </w:tc>
      </w:tr>
      <w:tr w:rsidR="00DB7DF7" w:rsidTr="00DE25A9">
        <w:tc>
          <w:tcPr>
            <w:tcW w:w="9212" w:type="dxa"/>
            <w:shd w:val="clear" w:color="auto" w:fill="92D050"/>
          </w:tcPr>
          <w:p w:rsidR="00DB7DF7" w:rsidRPr="003440CA" w:rsidRDefault="00DB7DF7" w:rsidP="00D8503F">
            <w:pPr>
              <w:jc w:val="center"/>
              <w:rPr>
                <w:rFonts w:cs="Times New Roman"/>
                <w:b/>
              </w:rPr>
            </w:pPr>
            <w:r w:rsidRPr="003440CA">
              <w:rPr>
                <w:rFonts w:cs="Times New Roman"/>
                <w:b/>
              </w:rPr>
              <w:lastRenderedPageBreak/>
              <w:t xml:space="preserve">Aptitudes </w:t>
            </w:r>
            <w:r w:rsidR="00EC37CC">
              <w:rPr>
                <w:rFonts w:cs="Times New Roman"/>
                <w:b/>
              </w:rPr>
              <w:t xml:space="preserve">et </w:t>
            </w:r>
            <w:r w:rsidR="00423DC3" w:rsidRPr="00423DC3">
              <w:rPr>
                <w:rFonts w:cs="Times New Roman"/>
                <w:b/>
              </w:rPr>
              <w:t xml:space="preserve">contre-indications </w:t>
            </w:r>
            <w:bookmarkStart w:id="0" w:name="_GoBack"/>
            <w:bookmarkEnd w:id="0"/>
            <w:r w:rsidR="00EC37CC">
              <w:rPr>
                <w:rFonts w:cs="Times New Roman"/>
                <w:b/>
              </w:rPr>
              <w:t xml:space="preserve">médicales </w:t>
            </w:r>
          </w:p>
        </w:tc>
      </w:tr>
      <w:tr w:rsidR="00DB7DF7" w:rsidTr="00DE25A9">
        <w:tc>
          <w:tcPr>
            <w:tcW w:w="9212" w:type="dxa"/>
            <w:shd w:val="clear" w:color="auto" w:fill="auto"/>
          </w:tcPr>
          <w:p w:rsidR="00DB7DF7" w:rsidRDefault="00EC37CC" w:rsidP="00EC37CC">
            <w:pPr>
              <w:pStyle w:val="Paragraphedeliste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EC37CC">
              <w:rPr>
                <w:rFonts w:ascii="Times New Roman" w:hAnsi="Times New Roman" w:cs="Times New Roman"/>
              </w:rPr>
              <w:t>Arrêté du 31 juillet 2012 relatif à l'organisation du contrôle médical de l'aptitude à la conduite</w:t>
            </w:r>
          </w:p>
          <w:p w:rsidR="001F560D" w:rsidRDefault="00BB0AB2" w:rsidP="001F560D">
            <w:pPr>
              <w:pStyle w:val="Paragraphedeliste"/>
              <w:rPr>
                <w:rFonts w:ascii="Times New Roman" w:hAnsi="Times New Roman" w:cs="Times New Roman"/>
              </w:rPr>
            </w:pPr>
            <w:hyperlink r:id="rId10" w:history="1">
              <w:r w:rsidR="001F560D" w:rsidRPr="005C651F">
                <w:rPr>
                  <w:rStyle w:val="Lienhypertexte"/>
                  <w:rFonts w:ascii="Times New Roman" w:hAnsi="Times New Roman" w:cs="Times New Roman"/>
                </w:rPr>
                <w:t>https://www.legifrance.gouv.fr/affichTexte.do?cidTexte=JORFTEXT000026310765&amp;categorieLien=id</w:t>
              </w:r>
            </w:hyperlink>
          </w:p>
          <w:p w:rsidR="001F560D" w:rsidRPr="00EC37CC" w:rsidRDefault="001F560D" w:rsidP="001F560D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  <w:tr w:rsidR="00DB7DF7" w:rsidTr="00DE25A9">
        <w:tc>
          <w:tcPr>
            <w:tcW w:w="9212" w:type="dxa"/>
            <w:shd w:val="clear" w:color="auto" w:fill="92D050"/>
          </w:tcPr>
          <w:p w:rsidR="00DB7DF7" w:rsidRDefault="00630372" w:rsidP="006E76FB">
            <w:pPr>
              <w:tabs>
                <w:tab w:val="left" w:pos="3100"/>
              </w:tabs>
              <w:jc w:val="center"/>
              <w:rPr>
                <w:b/>
              </w:rPr>
            </w:pPr>
            <w:r>
              <w:rPr>
                <w:b/>
              </w:rPr>
              <w:t>Principaux r</w:t>
            </w:r>
            <w:r w:rsidR="00DB7DF7">
              <w:rPr>
                <w:b/>
              </w:rPr>
              <w:t>isques professionnels</w:t>
            </w:r>
            <w:r w:rsidR="003440CA">
              <w:rPr>
                <w:b/>
              </w:rPr>
              <w:t xml:space="preserve"> (contraintes, nuisances)</w:t>
            </w:r>
            <w:r w:rsidR="006E76FB">
              <w:rPr>
                <w:rStyle w:val="Appelnotedebasdep"/>
                <w:b/>
              </w:rPr>
              <w:footnoteReference w:id="1"/>
            </w:r>
          </w:p>
        </w:tc>
      </w:tr>
      <w:tr w:rsidR="00DB7DF7" w:rsidTr="00DE25A9">
        <w:tc>
          <w:tcPr>
            <w:tcW w:w="9212" w:type="dxa"/>
          </w:tcPr>
          <w:p w:rsidR="00DB7DF7" w:rsidRPr="00110D94" w:rsidRDefault="003440CA" w:rsidP="00110D94">
            <w:pPr>
              <w:pStyle w:val="Paragraphedeliste"/>
              <w:numPr>
                <w:ilvl w:val="0"/>
                <w:numId w:val="33"/>
              </w:numPr>
              <w:rPr>
                <w:b/>
              </w:rPr>
            </w:pPr>
            <w:r w:rsidRPr="00110D94">
              <w:rPr>
                <w:b/>
              </w:rPr>
              <w:t xml:space="preserve">Chauffeurs poids lourds : </w:t>
            </w:r>
          </w:p>
          <w:p w:rsidR="003440CA" w:rsidRPr="00BB6F5F" w:rsidRDefault="003440CA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Risque routier</w:t>
            </w:r>
          </w:p>
          <w:p w:rsidR="003440CA" w:rsidRPr="00BB6F5F" w:rsidRDefault="003440CA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Travail sous contrainte de temps imposée/ délais à respecter/ gestion des aléas de la route</w:t>
            </w:r>
          </w:p>
          <w:p w:rsidR="003440CA" w:rsidRPr="00BB6F5F" w:rsidRDefault="003440CA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Horaires irréguliers/ déplacements sur plusieurs jours /travail de nuit</w:t>
            </w:r>
          </w:p>
          <w:p w:rsidR="003440CA" w:rsidRPr="00BB6F5F" w:rsidRDefault="00BB6F5F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Grands déplacements/ t</w:t>
            </w:r>
            <w:r w:rsidR="003440CA" w:rsidRPr="00BB6F5F">
              <w:rPr>
                <w:rFonts w:ascii="Times New Roman" w:hAnsi="Times New Roman" w:cs="Times New Roman"/>
                <w:sz w:val="24"/>
                <w:szCs w:val="24"/>
              </w:rPr>
              <w:t>ravail à l’étranger/logement hôtel</w:t>
            </w:r>
          </w:p>
          <w:p w:rsidR="003440CA" w:rsidRPr="00BB6F5F" w:rsidRDefault="003440CA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Travail isolé</w:t>
            </w:r>
          </w:p>
          <w:p w:rsidR="003440CA" w:rsidRDefault="003440CA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Chargement/déchargement PL/ arrimage/ attelage, dételage</w:t>
            </w:r>
            <w:r w:rsidR="00C214B0" w:rsidRPr="00BB6F5F">
              <w:rPr>
                <w:rFonts w:ascii="Times New Roman" w:hAnsi="Times New Roman" w:cs="Times New Roman"/>
                <w:sz w:val="24"/>
                <w:szCs w:val="24"/>
              </w:rPr>
              <w:t>/bâchage, débâchage</w:t>
            </w:r>
          </w:p>
          <w:p w:rsidR="00DA01EC" w:rsidRPr="00BB6F5F" w:rsidRDefault="00DA01EC" w:rsidP="00110D94">
            <w:pPr>
              <w:pStyle w:val="Paragraphedeliste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Posture assise prolongée</w:t>
            </w:r>
          </w:p>
          <w:p w:rsidR="003440CA" w:rsidRDefault="00110D94" w:rsidP="00110D94">
            <w:pPr>
              <w:pStyle w:val="Paragraphedeliste"/>
              <w:numPr>
                <w:ilvl w:val="0"/>
                <w:numId w:val="30"/>
              </w:numPr>
              <w:rPr>
                <w:b/>
              </w:rPr>
            </w:pPr>
            <w:r w:rsidRPr="00110D94">
              <w:rPr>
                <w:b/>
              </w:rPr>
              <w:t>Conducteur de bus</w:t>
            </w:r>
            <w:r>
              <w:rPr>
                <w:b/>
              </w:rPr>
              <w:t> :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Risque routier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Travail sous contrainte de temps imposée/ délais à respecter/ gestion des aléas de la route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Horaires irréguliers/ déplacements sur plusieurs jours /travail de nuit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Travail à l’étranger/logement hôtel</w:t>
            </w:r>
          </w:p>
          <w:p w:rsidR="00110D94" w:rsidRDefault="00BB6F5F" w:rsidP="00110D94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Milieu urbain</w:t>
            </w:r>
          </w:p>
          <w:p w:rsidR="00BB6F5F" w:rsidRDefault="00BB6F5F" w:rsidP="00110D94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avec usagers</w:t>
            </w:r>
          </w:p>
          <w:p w:rsidR="00DA01EC" w:rsidRPr="00DA01EC" w:rsidRDefault="00DA01EC" w:rsidP="00DA01EC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1EC">
              <w:rPr>
                <w:rFonts w:ascii="Times New Roman" w:hAnsi="Times New Roman" w:cs="Times New Roman"/>
                <w:sz w:val="24"/>
                <w:szCs w:val="24"/>
              </w:rPr>
              <w:t>Posture assise prolongée</w:t>
            </w:r>
          </w:p>
          <w:p w:rsidR="00BB6F5F" w:rsidRDefault="00BB6F5F" w:rsidP="00BB6F5F">
            <w:pPr>
              <w:pStyle w:val="Paragraphedeliste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b/>
                <w:sz w:val="24"/>
                <w:szCs w:val="24"/>
              </w:rPr>
              <w:t>Chauffeur livreur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Risque routier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Travail sous contrainte de temps imposée/ délais à respecter/ gestion des aléas de la route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fluctuations hebdomadaires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t>Horaires irréguliers/ déplacements sur plusieurs jours /travail de nuit</w:t>
            </w:r>
          </w:p>
          <w:p w:rsidR="00BB6F5F" w:rsidRP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Contacts clients (charge mentale)</w:t>
            </w:r>
          </w:p>
          <w:p w:rsidR="00BB6F5F" w:rsidRDefault="00BB6F5F" w:rsidP="00BB6F5F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6F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Milieu urbain</w:t>
            </w:r>
          </w:p>
          <w:p w:rsidR="00DA01EC" w:rsidRPr="00DA01EC" w:rsidRDefault="00DA01EC" w:rsidP="00DA01EC">
            <w:pPr>
              <w:pStyle w:val="Paragraphedeliste"/>
              <w:numPr>
                <w:ilvl w:val="1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01EC">
              <w:rPr>
                <w:rFonts w:ascii="Times New Roman" w:hAnsi="Times New Roman" w:cs="Times New Roman"/>
                <w:sz w:val="24"/>
                <w:szCs w:val="24"/>
              </w:rPr>
              <w:t>Posture assise prolongée</w:t>
            </w:r>
          </w:p>
          <w:p w:rsidR="00DA01EC" w:rsidRPr="00BB6F5F" w:rsidRDefault="00DA01EC" w:rsidP="00DA01EC">
            <w:pPr>
              <w:pStyle w:val="Paragraphedeliste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DF7" w:rsidTr="00DE25A9">
        <w:tc>
          <w:tcPr>
            <w:tcW w:w="9212" w:type="dxa"/>
            <w:shd w:val="clear" w:color="auto" w:fill="92D050"/>
          </w:tcPr>
          <w:p w:rsidR="00DB7DF7" w:rsidRDefault="00DB7DF7" w:rsidP="00E539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Prévention (recommandations, guides…)</w:t>
            </w:r>
            <w:r w:rsidR="006E76FB">
              <w:rPr>
                <w:rStyle w:val="Appelnotedebasdep"/>
                <w:b/>
              </w:rPr>
              <w:footnoteReference w:id="2"/>
            </w:r>
          </w:p>
        </w:tc>
      </w:tr>
      <w:tr w:rsidR="00DB7DF7" w:rsidTr="00DE25A9">
        <w:tc>
          <w:tcPr>
            <w:tcW w:w="9212" w:type="dxa"/>
            <w:shd w:val="clear" w:color="auto" w:fill="auto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2"/>
              <w:gridCol w:w="1257"/>
              <w:gridCol w:w="4352"/>
            </w:tblGrid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Conception et rénovation des quais pour l'accostage, le chargement et le déchargement en sécurité des poids lourds.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2018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http://www.inrs.fr/media.html?refINRS=ED%206059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 et logistique. Le secteur évolue et les outils s'adaptent.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1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TS, n° 787, octobre 2017, 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Transporteur. Entreprise d'accueil. Agir ensemble.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http://www.inrs.fr/media.html?refINRS=ED%206294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Risque routier. Certifié pour bonne conduite.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2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http://www.travail-et-securite.fr/visu/ts/ArticleTS/TI-TS779_INRS_P38-39.html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Transports routiers de fret de proximité.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2016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3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http://www.travail-et-securite.fr/visu/ts/ArticleTS/TI-TS774_INRS_P45.html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marchandises. Pour partir sur la bonne route.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2016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4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http://www.travail-et-securite.fr/visu/ts/ArticleTS/TI-TS770_INRS_P40-42.html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Un poids lourd de la prévention.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2016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5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http://www.travail-et-securite.fr/visu/ts/ArticleTS/TI-TS769_INRS_P26-27.html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marchandises. Conducteurs de poids lourd, préservez votre santé et votre sécurité ! Fiche salarié.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http://www.inrs.fr/media.html?refINRS=ED%206219</w:t>
                  </w:r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marchandises. Réduire les accidents liés aux opérations de chargement/déchargement. Fiche employeur n° 1.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6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http://www.inrs.fr/media.html?refINRS=ED%206224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marchandises. Réduire les accidents liés aux montées/descentes. Fiche employeur n° 2.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7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http://www.inrs.fr/media.html?refINRS=ED%206225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marchandises. Réduire les accidents liés aux interventions sur véhicule à l'arrêt. Fiche employeur n° 3.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8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http://www.inrs.fr/media.html?refINRS=ED%206226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 : un outil pour l’aide au maintien dans l’emploi des conducteurs.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9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http://www.rst-sante-travail.fr/rst/pages-article/ArticleRST.html?ref=RST.AC%2082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Mise à quai des poids lourds. Apport et limite des dispositifs embarqués pour la prévention des </w:t>
                  </w: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>collisions.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0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http://www.inrs.fr/media.html?refINRS=ED%206208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>Une nuit sur les rails.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1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http://www.travail-et-securite.fr/visu/ts/ArticleTS/TI-TS761page26-27.html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Droit en pratique. La formation professionnelle des conducteurs routiers.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2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http://www.travail-et-securite.fr/visu/ts/ArticleTS/TI-TS749page52_54.html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Rouler et manutentionner en sécurité. Guide de choix des équipements des poids lourds.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3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http://www.inrs.fr/media.html?refINRS=ED%206189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Maintien dans l'emploi. Une mobilisation sans failles.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4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TS, n° 739, mai 2013, pp. 44-45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Sécurisation des procédures d’arrimage de couronnes de fil d’acier.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5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http://www.inrs.fr/inrs/recherche/etudes-publications-communications/doc/publication.html?refINRS=NOETUDE%2FP2013-120%2FNS304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Travailleurs handicapés. Une formation pour l'accès aux métiers des transports.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6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http://www.travail-et-securite.fr/visu/ts/ArticleTS/TS-TS742page4.html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Dossier. Transports de marchandises. Le risque routier peut en cacher d'autres.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2011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TS, n° 718, juin 2011, pp. 16-31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Risque routier et manutentions. Paniers bien arrimés chez Air Liquide.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TS, n° 705, avril 2010, pp. 32-33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Dossier. Transport routier de marchandises. Bien s'équiper pour rester dans le mouvement.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2008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TS, n° 683, avril 2008, pp. 22-36,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routier de marchandises. Vigilant à l'arrêt comme au volant.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2006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7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http://www.inrs.fr/media.html?refINRS=ED%20826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Ceinture de sécurité : les chauffeurs de poids lourds aussi !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TS, n° 632, septembre 2003, pp. 24-25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Poids lourds : sécuriser la conception des semi-remorques.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TS, n° 635, décembre 2003, pp. 42-44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R227. Risques liés au freinage des véhicules articulés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8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https://www.ameli.fr/sites/default/files/Documents/6259/document/r227.pdf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R368. Chargement-déchargement. Transport des matières dangereuses par route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29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https://www.ameli.fr/sites/default/files/Documents/6858/document/r307.pdf 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R306. Arrimage et désarrimage des charges transportées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0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https://www.ameli.fr/sites/default/files/Documents/6857/document/r306.pdf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R307. Utilisation des roll-conteneurs dans la distribution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https://www.ameli.fr/sites/default/files/Documents/6858/document/r307.pdf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R449. Chargement et déchargement des véhicules citernes routiers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1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https://www.ameli.fr/sites/default/files/Documents/31222/document/r449.pdf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R450. Accès aux dômes des véhicules citernes routiers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2010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2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https://www.ameli.fr/sites/default/files/Documents/31225/document/r450.pdf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 xml:space="preserve">R476.  Livraison de matériaux et éléments de construction sur les chantiers du bâtiment et des travaux publics 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3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https://www.ameli.fr/sites/default/files/Documents/31348/document/r476.pdf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R480. Chargement, déchargement et transport de produits pulvérulents en </w:t>
                  </w:r>
                  <w:proofErr w:type="spell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camion citerne</w:t>
                  </w:r>
                  <w:proofErr w:type="spell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dédié pulvérulent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4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https://www.ameli.fr/sites/default/files/Documents/31360/document/r480.pdf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Transports routiers réguliers de voyageurs.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5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http://www.travail-et-securite.fr/visu/ts/ArticleTS/TI-TS786_INRS_53.html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Droit de retrait du salarié et le sentiment d'insécurité en cas d'agression.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6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http://www.hst.fr/pages-de-recherche/recherche.html?keywords=Droit+de+retrait+du+salari%C3%A9+et+le+sentiment+d%27ins%C3%A9curit%C3%A9+en+cas+d%27agression.&amp;x=0&amp;y=0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Organisation et activités de maintenance : analyse ergonomique dans une entreprise de transport en commun.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7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HST</w:t>
                    </w:r>
                    <w:proofErr w:type="gramStart"/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, ,</w:t>
                    </w:r>
                    <w:proofErr w:type="gramEnd"/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 n° 236, juillet-août-septembre 2014, pp. 60-63,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Transports en commun. Sécurité et sûreté roulent de pair.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8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http://www.travail-et-securite.fr/visu/ts/ArticleTS/TI-TS750page42-44.html</w:t>
                    </w:r>
                  </w:hyperlink>
                </w:p>
              </w:tc>
            </w:tr>
            <w:tr w:rsidR="00DE25A9" w:rsidRPr="007C3050" w:rsidTr="00DE25A9">
              <w:trPr>
                <w:trHeight w:val="6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Ecoutes - entretiens en intervention sur des problématiques de violences en contextes professionnels. Eléments de mise en </w:t>
                  </w:r>
                  <w:proofErr w:type="spell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oeuvre</w:t>
                  </w:r>
                  <w:proofErr w:type="spell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et illustration.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2013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39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http://www.inrs.fr/inrs/recherche/etudes-publications-communications/doc/publication.html?refINRS=A.1%2F1.041%2FP2013-207%2FNS313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Risques psychosociaux. Quand bien conduire rime avec bonnes conduites.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2008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TS, n° 686, juillet-août 2008, pp. 46-47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Le risque de troubles </w:t>
                  </w:r>
                  <w:proofErr w:type="spell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musculosquelettiques</w:t>
                  </w:r>
                  <w:proofErr w:type="spell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chez les chauffeurs de bus : une réalité.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40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http://www.inrs.fr/media.html?refINRS=TF%20161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E2EFDA"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R283. Utilisation des voies ferrées dans les entreprises.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1986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000000" w:fill="E2EFDA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41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https://www.ameli.fr/sites/default/files/Documents/6851/document/r283.pdf 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Conception et rénovation des quais pour l'accostage, le chargement et le déchargement en sécurité des poids lourds.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2018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http://www.inrs.fr/media.html?refINRS=ED%206059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Mise à quai des poids lourds. Apport et limite des dispositifs embarqués pour la prévention des collisions.</w:t>
                  </w:r>
                </w:p>
              </w:tc>
              <w:tc>
                <w:tcPr>
                  <w:tcW w:w="699" w:type="pct"/>
                  <w:tcBorders>
                    <w:top w:val="single" w:sz="4" w:space="0" w:color="808080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420" w:type="pct"/>
                  <w:tcBorders>
                    <w:top w:val="single" w:sz="4" w:space="0" w:color="808080"/>
                    <w:left w:val="nil"/>
                    <w:bottom w:val="nil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42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http://www.inrs.fr/media.html?refINRS=ED%206208</w:t>
                    </w:r>
                  </w:hyperlink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Recherche INRS : la mise à quai des camions en sécurité.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2005</w:t>
                  </w:r>
                </w:p>
              </w:tc>
              <w:tc>
                <w:tcPr>
                  <w:tcW w:w="2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u w:val="single"/>
                      <w:lang w:eastAsia="fr-FR"/>
                    </w:rPr>
                    <w:t>TS, n° 649, mars 2005, pp. 16-17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Manutentions manuelles et mécaniques. Une PME de la route vigilante à l'arrêt comme au volant.</w:t>
                  </w:r>
                </w:p>
              </w:tc>
              <w:tc>
                <w:tcPr>
                  <w:tcW w:w="6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1997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TS</w:t>
                  </w:r>
                  <w:proofErr w:type="gramStart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, ,</w:t>
                  </w:r>
                  <w:proofErr w:type="gramEnd"/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 n° 557, février 1997, pp. 2-3,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Les conditions de travail des chauffeurs de taxis.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1994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TS, n°523, avril 1994, p.286.</w:t>
                  </w:r>
                </w:p>
              </w:tc>
            </w:tr>
            <w:tr w:rsidR="00DE25A9" w:rsidRPr="007C3050" w:rsidTr="00DE25A9">
              <w:trPr>
                <w:trHeight w:val="300"/>
              </w:trPr>
              <w:tc>
                <w:tcPr>
                  <w:tcW w:w="18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 xml:space="preserve">R375. Sécurité des opérations de livraison d'aliment du bétail </w:t>
                  </w:r>
                </w:p>
              </w:tc>
              <w:tc>
                <w:tcPr>
                  <w:tcW w:w="6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DE25A9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1996</w:t>
                  </w:r>
                </w:p>
              </w:tc>
              <w:tc>
                <w:tcPr>
                  <w:tcW w:w="24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E25A9" w:rsidRPr="007C3050" w:rsidRDefault="00BB0AB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43" w:history="1">
                    <w:r w:rsidR="00DE25A9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https://www.ameli.fr/sites/default/files/Documents/6882/document/r375.pdf</w:t>
                    </w:r>
                  </w:hyperlink>
                </w:p>
              </w:tc>
            </w:tr>
          </w:tbl>
          <w:p w:rsidR="00C214B0" w:rsidRPr="00C214B0" w:rsidRDefault="00C214B0" w:rsidP="00C214B0">
            <w:pPr>
              <w:pStyle w:val="Paragraphedeliste"/>
              <w:numPr>
                <w:ilvl w:val="0"/>
                <w:numId w:val="32"/>
              </w:numPr>
              <w:rPr>
                <w:b/>
              </w:rPr>
            </w:pPr>
            <w:r w:rsidRPr="00C214B0">
              <w:rPr>
                <w:rFonts w:ascii="Times New Roman" w:hAnsi="Times New Roman" w:cs="Times New Roman"/>
                <w:sz w:val="24"/>
                <w:szCs w:val="24"/>
              </w:rPr>
              <w:t>FMP chauffeur poids lourd fmpcisme.org</w:t>
            </w:r>
          </w:p>
          <w:p w:rsidR="00C214B0" w:rsidRPr="00C214B0" w:rsidRDefault="00C214B0" w:rsidP="00C214B0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b/>
              </w:rPr>
            </w:pPr>
            <w:r w:rsidRPr="00C214B0">
              <w:rPr>
                <w:rFonts w:ascii="Times New Roman" w:hAnsi="Times New Roman" w:cs="Times New Roman"/>
                <w:sz w:val="24"/>
                <w:szCs w:val="24"/>
              </w:rPr>
              <w:t xml:space="preserve">FMP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conducteur autobus</w:t>
            </w:r>
            <w:r w:rsidRPr="00C214B0">
              <w:rPr>
                <w:rFonts w:ascii="Times New Roman" w:hAnsi="Times New Roman" w:cs="Times New Roman"/>
                <w:sz w:val="24"/>
                <w:szCs w:val="24"/>
              </w:rPr>
              <w:t xml:space="preserve"> fmpcisme.org</w:t>
            </w:r>
          </w:p>
          <w:p w:rsidR="00C214B0" w:rsidRPr="00C214B0" w:rsidRDefault="00C214B0" w:rsidP="00C214B0">
            <w:pPr>
              <w:pStyle w:val="Paragraphedeliste"/>
              <w:numPr>
                <w:ilvl w:val="0"/>
                <w:numId w:val="32"/>
              </w:numPr>
              <w:spacing w:after="200" w:line="276" w:lineRule="auto"/>
              <w:rPr>
                <w:b/>
              </w:rPr>
            </w:pPr>
            <w:r w:rsidRPr="00C214B0">
              <w:rPr>
                <w:rFonts w:ascii="Times New Roman" w:hAnsi="Times New Roman" w:cs="Times New Roman"/>
                <w:sz w:val="24"/>
                <w:szCs w:val="24"/>
              </w:rPr>
              <w:t xml:space="preserve">FMP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chauffeur livreur</w:t>
            </w:r>
            <w:r w:rsidRPr="00C214B0">
              <w:rPr>
                <w:rFonts w:ascii="Times New Roman" w:hAnsi="Times New Roman" w:cs="Times New Roman"/>
                <w:sz w:val="24"/>
                <w:szCs w:val="24"/>
              </w:rPr>
              <w:t xml:space="preserve"> fmpcisme.org</w:t>
            </w:r>
          </w:p>
          <w:p w:rsidR="00C214B0" w:rsidRPr="00C214B0" w:rsidRDefault="00C214B0" w:rsidP="00C214B0">
            <w:pPr>
              <w:pStyle w:val="Paragraphedeliste"/>
              <w:rPr>
                <w:b/>
              </w:rPr>
            </w:pPr>
          </w:p>
        </w:tc>
      </w:tr>
      <w:tr w:rsidR="00DB7DF7" w:rsidTr="00DE25A9">
        <w:tc>
          <w:tcPr>
            <w:tcW w:w="9212" w:type="dxa"/>
            <w:shd w:val="clear" w:color="auto" w:fill="92D050"/>
          </w:tcPr>
          <w:p w:rsidR="00DB7DF7" w:rsidRDefault="00DB7DF7" w:rsidP="00BA53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Aménagements envisageables (en fonction du handicap/faisabilité…)</w:t>
            </w:r>
            <w:r w:rsidR="006E76FB">
              <w:rPr>
                <w:rStyle w:val="Appelnotedebasdep"/>
                <w:b/>
              </w:rPr>
              <w:footnoteReference w:id="3"/>
            </w:r>
          </w:p>
        </w:tc>
      </w:tr>
      <w:tr w:rsidR="00DB7DF7" w:rsidTr="00DE25A9">
        <w:tc>
          <w:tcPr>
            <w:tcW w:w="9212" w:type="dxa"/>
          </w:tcPr>
          <w:p w:rsidR="000975A2" w:rsidRPr="00F06852" w:rsidRDefault="000975A2" w:rsidP="000975A2">
            <w:pPr>
              <w:spacing w:after="200" w:line="276" w:lineRule="auto"/>
              <w:rPr>
                <w:b/>
              </w:rPr>
            </w:pPr>
            <w:r w:rsidRPr="00F06852">
              <w:rPr>
                <w:b/>
              </w:rPr>
              <w:t>Moteur :</w:t>
            </w:r>
          </w:p>
          <w:p w:rsidR="000975A2" w:rsidRPr="00F06852" w:rsidRDefault="000975A2" w:rsidP="000975A2">
            <w:pPr>
              <w:spacing w:after="200" w:line="276" w:lineRule="auto"/>
              <w:rPr>
                <w:b/>
              </w:rPr>
            </w:pPr>
            <w:r w:rsidRPr="00F06852">
              <w:rPr>
                <w:b/>
              </w:rPr>
              <w:t>Sensoriel :</w:t>
            </w:r>
          </w:p>
          <w:p w:rsidR="000975A2" w:rsidRPr="00F06852" w:rsidRDefault="000975A2" w:rsidP="000975A2">
            <w:pPr>
              <w:spacing w:after="200" w:line="276" w:lineRule="auto"/>
              <w:rPr>
                <w:b/>
              </w:rPr>
            </w:pPr>
            <w:r w:rsidRPr="00F06852">
              <w:rPr>
                <w:b/>
              </w:rPr>
              <w:t>Mental :</w:t>
            </w:r>
          </w:p>
          <w:p w:rsidR="00DB7DF7" w:rsidRPr="00CC09EB" w:rsidRDefault="000975A2" w:rsidP="000975A2">
            <w:pPr>
              <w:rPr>
                <w:b/>
              </w:rPr>
            </w:pPr>
            <w:r w:rsidRPr="00F06852">
              <w:rPr>
                <w:b/>
              </w:rPr>
              <w:t>Psychique :</w:t>
            </w:r>
          </w:p>
        </w:tc>
      </w:tr>
    </w:tbl>
    <w:p w:rsidR="00624936" w:rsidRDefault="00624936" w:rsidP="00624936">
      <w:pPr>
        <w:rPr>
          <w:b/>
        </w:rPr>
      </w:pPr>
    </w:p>
    <w:p w:rsidR="00624936" w:rsidRDefault="00624936" w:rsidP="00624936">
      <w:pPr>
        <w:rPr>
          <w:b/>
        </w:rPr>
      </w:pPr>
    </w:p>
    <w:p w:rsidR="00136E73" w:rsidRPr="00141799" w:rsidRDefault="00136E73" w:rsidP="00141799">
      <w:pPr>
        <w:jc w:val="center"/>
        <w:rPr>
          <w:b/>
          <w:sz w:val="28"/>
          <w:szCs w:val="28"/>
        </w:rPr>
      </w:pPr>
      <w:r w:rsidRPr="00141799">
        <w:rPr>
          <w:b/>
          <w:sz w:val="28"/>
          <w:szCs w:val="28"/>
        </w:rPr>
        <w:t>Synthèse</w:t>
      </w:r>
    </w:p>
    <w:p w:rsidR="00136E73" w:rsidRPr="00624936" w:rsidRDefault="00141799" w:rsidP="00624936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79254031" wp14:editId="7D8DD656">
            <wp:extent cx="5760720" cy="348362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E73" w:rsidRPr="0062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B2" w:rsidRDefault="00BB0AB2" w:rsidP="00343251">
      <w:pPr>
        <w:spacing w:after="0" w:line="240" w:lineRule="auto"/>
      </w:pPr>
      <w:r>
        <w:separator/>
      </w:r>
    </w:p>
  </w:endnote>
  <w:endnote w:type="continuationSeparator" w:id="0">
    <w:p w:rsidR="00BB0AB2" w:rsidRDefault="00BB0AB2" w:rsidP="0034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B2" w:rsidRDefault="00BB0AB2" w:rsidP="00343251">
      <w:pPr>
        <w:spacing w:after="0" w:line="240" w:lineRule="auto"/>
      </w:pPr>
      <w:r>
        <w:separator/>
      </w:r>
    </w:p>
  </w:footnote>
  <w:footnote w:type="continuationSeparator" w:id="0">
    <w:p w:rsidR="00BB0AB2" w:rsidRDefault="00BB0AB2" w:rsidP="00343251">
      <w:pPr>
        <w:spacing w:after="0" w:line="240" w:lineRule="auto"/>
      </w:pPr>
      <w:r>
        <w:continuationSeparator/>
      </w:r>
    </w:p>
  </w:footnote>
  <w:footnote w:id="1">
    <w:p w:rsidR="006E76FB" w:rsidRDefault="006E76FB">
      <w:pPr>
        <w:pStyle w:val="Notedebasdepage"/>
      </w:pPr>
      <w:r>
        <w:rPr>
          <w:rStyle w:val="Appelnotedebasdep"/>
        </w:rPr>
        <w:footnoteRef/>
      </w:r>
      <w:r>
        <w:t xml:space="preserve"> </w:t>
      </w:r>
    </w:p>
  </w:footnote>
  <w:footnote w:id="2">
    <w:p w:rsidR="006E76FB" w:rsidRDefault="006E76F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76FB">
        <w:t>Sont ici recensées les principales actions de prévention pertinentes pour ce domaine d’activité, au-delà donc de celles qui viseraient spécifiquement une prévention adaptée aux salariés handicapés</w:t>
      </w:r>
    </w:p>
  </w:footnote>
  <w:footnote w:id="3">
    <w:p w:rsidR="006E76FB" w:rsidRDefault="006E76F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E76FB">
        <w:t>Partie à compléter et à joindre par les répondants au formulaire de réponse adressé au secrétariat d’Etat chargé des Personnes handicapées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169"/>
    <w:multiLevelType w:val="multilevel"/>
    <w:tmpl w:val="898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6580"/>
    <w:multiLevelType w:val="multilevel"/>
    <w:tmpl w:val="521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26051"/>
    <w:multiLevelType w:val="multilevel"/>
    <w:tmpl w:val="78C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A1026"/>
    <w:multiLevelType w:val="hybridMultilevel"/>
    <w:tmpl w:val="6358BF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95BB7"/>
    <w:multiLevelType w:val="multilevel"/>
    <w:tmpl w:val="699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692C9C"/>
    <w:multiLevelType w:val="multilevel"/>
    <w:tmpl w:val="4DC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87111"/>
    <w:multiLevelType w:val="multilevel"/>
    <w:tmpl w:val="E7B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CA6E66"/>
    <w:multiLevelType w:val="hybridMultilevel"/>
    <w:tmpl w:val="F6862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B6F74"/>
    <w:multiLevelType w:val="multilevel"/>
    <w:tmpl w:val="E7C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82AD0"/>
    <w:multiLevelType w:val="multilevel"/>
    <w:tmpl w:val="680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7165A9"/>
    <w:multiLevelType w:val="hybridMultilevel"/>
    <w:tmpl w:val="86A26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E3663"/>
    <w:multiLevelType w:val="hybridMultilevel"/>
    <w:tmpl w:val="58E82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E2DF3"/>
    <w:multiLevelType w:val="multilevel"/>
    <w:tmpl w:val="F43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701375"/>
    <w:multiLevelType w:val="hybridMultilevel"/>
    <w:tmpl w:val="63EE20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E86CE4"/>
    <w:multiLevelType w:val="hybridMultilevel"/>
    <w:tmpl w:val="D8B4ED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D6657B5"/>
    <w:multiLevelType w:val="multilevel"/>
    <w:tmpl w:val="22C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1A4CB4"/>
    <w:multiLevelType w:val="multilevel"/>
    <w:tmpl w:val="BCC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A2752"/>
    <w:multiLevelType w:val="hybridMultilevel"/>
    <w:tmpl w:val="85ACA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D47F8"/>
    <w:multiLevelType w:val="hybridMultilevel"/>
    <w:tmpl w:val="56485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137C6"/>
    <w:multiLevelType w:val="multilevel"/>
    <w:tmpl w:val="DB8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1D1E90"/>
    <w:multiLevelType w:val="hybridMultilevel"/>
    <w:tmpl w:val="42924F7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A767F36"/>
    <w:multiLevelType w:val="multilevel"/>
    <w:tmpl w:val="086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560D66"/>
    <w:multiLevelType w:val="hybridMultilevel"/>
    <w:tmpl w:val="D1EE16BA"/>
    <w:lvl w:ilvl="0" w:tplc="F85EC004">
      <w:start w:val="6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00509"/>
    <w:multiLevelType w:val="hybridMultilevel"/>
    <w:tmpl w:val="375E5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D96AED"/>
    <w:multiLevelType w:val="hybridMultilevel"/>
    <w:tmpl w:val="B8E25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24B28"/>
    <w:multiLevelType w:val="multilevel"/>
    <w:tmpl w:val="247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9133D9"/>
    <w:multiLevelType w:val="hybridMultilevel"/>
    <w:tmpl w:val="509245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0C4339"/>
    <w:multiLevelType w:val="hybridMultilevel"/>
    <w:tmpl w:val="3A9E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D10D1"/>
    <w:multiLevelType w:val="hybridMultilevel"/>
    <w:tmpl w:val="8D7AF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235F33"/>
    <w:multiLevelType w:val="multilevel"/>
    <w:tmpl w:val="FB5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19205C"/>
    <w:multiLevelType w:val="hybridMultilevel"/>
    <w:tmpl w:val="B1B01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7533"/>
    <w:multiLevelType w:val="hybridMultilevel"/>
    <w:tmpl w:val="02E2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4561E"/>
    <w:multiLevelType w:val="hybridMultilevel"/>
    <w:tmpl w:val="4C54A1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B725D"/>
    <w:multiLevelType w:val="hybridMultilevel"/>
    <w:tmpl w:val="5F6E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F6838"/>
    <w:multiLevelType w:val="hybridMultilevel"/>
    <w:tmpl w:val="A64E7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1548D9"/>
    <w:multiLevelType w:val="multilevel"/>
    <w:tmpl w:val="EB2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3D2998"/>
    <w:multiLevelType w:val="multilevel"/>
    <w:tmpl w:val="C00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647C37"/>
    <w:multiLevelType w:val="multilevel"/>
    <w:tmpl w:val="4A483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7B541DB2"/>
    <w:multiLevelType w:val="hybridMultilevel"/>
    <w:tmpl w:val="FCF29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845DD"/>
    <w:multiLevelType w:val="multilevel"/>
    <w:tmpl w:val="DE5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8"/>
  </w:num>
  <w:num w:numId="4">
    <w:abstractNumId w:val="6"/>
  </w:num>
  <w:num w:numId="5">
    <w:abstractNumId w:val="39"/>
  </w:num>
  <w:num w:numId="6">
    <w:abstractNumId w:val="1"/>
  </w:num>
  <w:num w:numId="7">
    <w:abstractNumId w:val="31"/>
  </w:num>
  <w:num w:numId="8">
    <w:abstractNumId w:val="14"/>
  </w:num>
  <w:num w:numId="9">
    <w:abstractNumId w:val="19"/>
  </w:num>
  <w:num w:numId="10">
    <w:abstractNumId w:val="4"/>
  </w:num>
  <w:num w:numId="11">
    <w:abstractNumId w:val="15"/>
  </w:num>
  <w:num w:numId="12">
    <w:abstractNumId w:val="9"/>
  </w:num>
  <w:num w:numId="13">
    <w:abstractNumId w:val="25"/>
  </w:num>
  <w:num w:numId="14">
    <w:abstractNumId w:val="12"/>
  </w:num>
  <w:num w:numId="15">
    <w:abstractNumId w:val="29"/>
  </w:num>
  <w:num w:numId="16">
    <w:abstractNumId w:val="5"/>
  </w:num>
  <w:num w:numId="17">
    <w:abstractNumId w:val="2"/>
  </w:num>
  <w:num w:numId="18">
    <w:abstractNumId w:val="21"/>
  </w:num>
  <w:num w:numId="19">
    <w:abstractNumId w:val="35"/>
  </w:num>
  <w:num w:numId="20">
    <w:abstractNumId w:val="0"/>
  </w:num>
  <w:num w:numId="21">
    <w:abstractNumId w:val="36"/>
  </w:num>
  <w:num w:numId="22">
    <w:abstractNumId w:val="18"/>
  </w:num>
  <w:num w:numId="23">
    <w:abstractNumId w:val="34"/>
  </w:num>
  <w:num w:numId="24">
    <w:abstractNumId w:val="23"/>
  </w:num>
  <w:num w:numId="25">
    <w:abstractNumId w:val="33"/>
  </w:num>
  <w:num w:numId="26">
    <w:abstractNumId w:val="17"/>
  </w:num>
  <w:num w:numId="27">
    <w:abstractNumId w:val="24"/>
  </w:num>
  <w:num w:numId="28">
    <w:abstractNumId w:val="32"/>
  </w:num>
  <w:num w:numId="29">
    <w:abstractNumId w:val="28"/>
  </w:num>
  <w:num w:numId="30">
    <w:abstractNumId w:val="30"/>
  </w:num>
  <w:num w:numId="31">
    <w:abstractNumId w:val="7"/>
  </w:num>
  <w:num w:numId="32">
    <w:abstractNumId w:val="11"/>
  </w:num>
  <w:num w:numId="33">
    <w:abstractNumId w:val="13"/>
  </w:num>
  <w:num w:numId="34">
    <w:abstractNumId w:val="20"/>
  </w:num>
  <w:num w:numId="35">
    <w:abstractNumId w:val="38"/>
  </w:num>
  <w:num w:numId="36">
    <w:abstractNumId w:val="10"/>
  </w:num>
  <w:num w:numId="37">
    <w:abstractNumId w:val="26"/>
  </w:num>
  <w:num w:numId="38">
    <w:abstractNumId w:val="3"/>
  </w:num>
  <w:num w:numId="39">
    <w:abstractNumId w:val="27"/>
  </w:num>
  <w:num w:numId="40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6"/>
    <w:rsid w:val="0003259D"/>
    <w:rsid w:val="00051E24"/>
    <w:rsid w:val="0008304E"/>
    <w:rsid w:val="00090903"/>
    <w:rsid w:val="0009200D"/>
    <w:rsid w:val="000975A2"/>
    <w:rsid w:val="000C24F2"/>
    <w:rsid w:val="000C3F95"/>
    <w:rsid w:val="000D423F"/>
    <w:rsid w:val="000D7DF3"/>
    <w:rsid w:val="000E00CF"/>
    <w:rsid w:val="000E3432"/>
    <w:rsid w:val="00110D94"/>
    <w:rsid w:val="00122EA6"/>
    <w:rsid w:val="00123D60"/>
    <w:rsid w:val="00136E73"/>
    <w:rsid w:val="00141799"/>
    <w:rsid w:val="00160F2F"/>
    <w:rsid w:val="001A03BF"/>
    <w:rsid w:val="001B26B6"/>
    <w:rsid w:val="001B3E4B"/>
    <w:rsid w:val="001C17BB"/>
    <w:rsid w:val="001E0D51"/>
    <w:rsid w:val="001E4928"/>
    <w:rsid w:val="001F0331"/>
    <w:rsid w:val="001F24E1"/>
    <w:rsid w:val="001F4257"/>
    <w:rsid w:val="001F560D"/>
    <w:rsid w:val="002000B2"/>
    <w:rsid w:val="00207725"/>
    <w:rsid w:val="00242F1D"/>
    <w:rsid w:val="00273E45"/>
    <w:rsid w:val="00274078"/>
    <w:rsid w:val="0029206D"/>
    <w:rsid w:val="002A6E5E"/>
    <w:rsid w:val="002E16F5"/>
    <w:rsid w:val="002F0451"/>
    <w:rsid w:val="00331D3B"/>
    <w:rsid w:val="00343251"/>
    <w:rsid w:val="003440CA"/>
    <w:rsid w:val="00354A90"/>
    <w:rsid w:val="00355075"/>
    <w:rsid w:val="00360702"/>
    <w:rsid w:val="003645E2"/>
    <w:rsid w:val="0037467D"/>
    <w:rsid w:val="003961DC"/>
    <w:rsid w:val="003A5A6D"/>
    <w:rsid w:val="00412467"/>
    <w:rsid w:val="0042213D"/>
    <w:rsid w:val="00423DC3"/>
    <w:rsid w:val="004408CD"/>
    <w:rsid w:val="0044748B"/>
    <w:rsid w:val="00471FE6"/>
    <w:rsid w:val="004720AD"/>
    <w:rsid w:val="004B2B93"/>
    <w:rsid w:val="004C2E9A"/>
    <w:rsid w:val="004C5B18"/>
    <w:rsid w:val="004F41A2"/>
    <w:rsid w:val="004F66EB"/>
    <w:rsid w:val="005000F9"/>
    <w:rsid w:val="0053725F"/>
    <w:rsid w:val="0056263E"/>
    <w:rsid w:val="005A25CF"/>
    <w:rsid w:val="005D7B5C"/>
    <w:rsid w:val="00602673"/>
    <w:rsid w:val="00621D18"/>
    <w:rsid w:val="00624936"/>
    <w:rsid w:val="00627620"/>
    <w:rsid w:val="00630372"/>
    <w:rsid w:val="006432FE"/>
    <w:rsid w:val="00674B53"/>
    <w:rsid w:val="006E76FB"/>
    <w:rsid w:val="00731D95"/>
    <w:rsid w:val="00746255"/>
    <w:rsid w:val="00746E66"/>
    <w:rsid w:val="007B2EF7"/>
    <w:rsid w:val="007B7EAB"/>
    <w:rsid w:val="007C2413"/>
    <w:rsid w:val="007F008A"/>
    <w:rsid w:val="00850DE0"/>
    <w:rsid w:val="008A4D3C"/>
    <w:rsid w:val="008A5575"/>
    <w:rsid w:val="008C19AB"/>
    <w:rsid w:val="009B7BDA"/>
    <w:rsid w:val="00A46BE0"/>
    <w:rsid w:val="00A73D73"/>
    <w:rsid w:val="00AA0F3E"/>
    <w:rsid w:val="00AA4A2E"/>
    <w:rsid w:val="00AA7BAD"/>
    <w:rsid w:val="00AB282D"/>
    <w:rsid w:val="00AB569C"/>
    <w:rsid w:val="00AC79FD"/>
    <w:rsid w:val="00AF4DE7"/>
    <w:rsid w:val="00B20DA3"/>
    <w:rsid w:val="00B22556"/>
    <w:rsid w:val="00B53872"/>
    <w:rsid w:val="00BA5332"/>
    <w:rsid w:val="00BB00DA"/>
    <w:rsid w:val="00BB0AB2"/>
    <w:rsid w:val="00BB6F5F"/>
    <w:rsid w:val="00BF584A"/>
    <w:rsid w:val="00C214B0"/>
    <w:rsid w:val="00C232DD"/>
    <w:rsid w:val="00C25F3F"/>
    <w:rsid w:val="00CA0AFA"/>
    <w:rsid w:val="00CB4669"/>
    <w:rsid w:val="00CC09EB"/>
    <w:rsid w:val="00CC6879"/>
    <w:rsid w:val="00CD425F"/>
    <w:rsid w:val="00D01951"/>
    <w:rsid w:val="00D02365"/>
    <w:rsid w:val="00D31DD1"/>
    <w:rsid w:val="00D45D8D"/>
    <w:rsid w:val="00D74BE8"/>
    <w:rsid w:val="00D76611"/>
    <w:rsid w:val="00D76E10"/>
    <w:rsid w:val="00DA01EC"/>
    <w:rsid w:val="00DA35F5"/>
    <w:rsid w:val="00DA5FB1"/>
    <w:rsid w:val="00DB1F8C"/>
    <w:rsid w:val="00DB658E"/>
    <w:rsid w:val="00DB7DF7"/>
    <w:rsid w:val="00DD0093"/>
    <w:rsid w:val="00DD59CF"/>
    <w:rsid w:val="00DE25A9"/>
    <w:rsid w:val="00E372B6"/>
    <w:rsid w:val="00E427A7"/>
    <w:rsid w:val="00E45843"/>
    <w:rsid w:val="00E539B8"/>
    <w:rsid w:val="00E6122F"/>
    <w:rsid w:val="00E67602"/>
    <w:rsid w:val="00EC37CC"/>
    <w:rsid w:val="00EF011F"/>
    <w:rsid w:val="00F229BE"/>
    <w:rsid w:val="00F257C7"/>
    <w:rsid w:val="00F666D8"/>
    <w:rsid w:val="00FA51EE"/>
    <w:rsid w:val="00FA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46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32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2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2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25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B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3D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3D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39B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Aucuneliste1">
    <w:name w:val="Aucune liste1"/>
    <w:next w:val="Aucuneliste"/>
    <w:uiPriority w:val="99"/>
    <w:semiHidden/>
    <w:unhideWhenUsed/>
    <w:rsid w:val="00E539B8"/>
  </w:style>
  <w:style w:type="character" w:styleId="Lienhypertextesuivivisit">
    <w:name w:val="FollowedHyperlink"/>
    <w:basedOn w:val="Policepardfaut"/>
    <w:uiPriority w:val="99"/>
    <w:semiHidden/>
    <w:unhideWhenUsed/>
    <w:rsid w:val="00E539B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E539B8"/>
    <w:rPr>
      <w:i/>
      <w:iCs/>
    </w:rPr>
  </w:style>
  <w:style w:type="paragraph" w:customStyle="1" w:styleId="western">
    <w:name w:val="western"/>
    <w:basedOn w:val="Normal"/>
    <w:rsid w:val="00E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60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"/>
    <w:rsid w:val="00DB7DF7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46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32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2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2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25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B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3D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3D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39B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Aucuneliste1">
    <w:name w:val="Aucune liste1"/>
    <w:next w:val="Aucuneliste"/>
    <w:uiPriority w:val="99"/>
    <w:semiHidden/>
    <w:unhideWhenUsed/>
    <w:rsid w:val="00E539B8"/>
  </w:style>
  <w:style w:type="character" w:styleId="Lienhypertextesuivivisit">
    <w:name w:val="FollowedHyperlink"/>
    <w:basedOn w:val="Policepardfaut"/>
    <w:uiPriority w:val="99"/>
    <w:semiHidden/>
    <w:unhideWhenUsed/>
    <w:rsid w:val="00E539B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E539B8"/>
    <w:rPr>
      <w:i/>
      <w:iCs/>
    </w:rPr>
  </w:style>
  <w:style w:type="paragraph" w:customStyle="1" w:styleId="western">
    <w:name w:val="western"/>
    <w:basedOn w:val="Normal"/>
    <w:rsid w:val="00E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60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"/>
    <w:rsid w:val="00DB7DF7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ravail-et-securite.fr/visu/ts/ArticleTS/TI-TS774_INRS_P45.html" TargetMode="External"/><Relationship Id="rId18" Type="http://schemas.openxmlformats.org/officeDocument/2006/relationships/hyperlink" Target="http://www.inrs.fr/media.html?refINRS=ED%206226" TargetMode="External"/><Relationship Id="rId26" Type="http://schemas.openxmlformats.org/officeDocument/2006/relationships/hyperlink" Target="http://www.travail-et-securite.fr/visu/ts/ArticleTS/TS-TS742page4.html" TargetMode="External"/><Relationship Id="rId39" Type="http://schemas.openxmlformats.org/officeDocument/2006/relationships/hyperlink" Target="http://www.inrs.fr/inrs/recherche/etudes-publications-communications/doc/publication.html?refINRS=A.1%2F1.041%2FP2013-207%2FNS31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ravail-et-securite.fr/visu/ts/ArticleTS/TI-TS761page26-27.html" TargetMode="External"/><Relationship Id="rId34" Type="http://schemas.openxmlformats.org/officeDocument/2006/relationships/hyperlink" Target="https://www.ameli.fr/sites/default/files/Documents/31360/document/r480.pdf" TargetMode="External"/><Relationship Id="rId42" Type="http://schemas.openxmlformats.org/officeDocument/2006/relationships/hyperlink" Target="http://www.inrs.fr/media.html?refINRS=ED%20620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avail-et-securite.fr/visu/ts/ArticleTS/TI-TS779_INRS_P38-39.html" TargetMode="External"/><Relationship Id="rId17" Type="http://schemas.openxmlformats.org/officeDocument/2006/relationships/hyperlink" Target="http://www.inrs.fr/media.html?refINRS=ED%206225" TargetMode="External"/><Relationship Id="rId25" Type="http://schemas.openxmlformats.org/officeDocument/2006/relationships/hyperlink" Target="http://www.inrs.fr/inrs/recherche/etudes-publications-communications/doc/publication.html?refINRS=NOETUDE%2FP2013-120%2FNS304" TargetMode="External"/><Relationship Id="rId33" Type="http://schemas.openxmlformats.org/officeDocument/2006/relationships/hyperlink" Target="https://www.ameli.fr/sites/default/files/Documents/31348/document/r476.pdf" TargetMode="External"/><Relationship Id="rId38" Type="http://schemas.openxmlformats.org/officeDocument/2006/relationships/hyperlink" Target="http://www.travail-et-securite.fr/visu/ts/ArticleTS/TI-TS750page42-44.html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rs.fr/media.html?refINRS=ED%206224" TargetMode="External"/><Relationship Id="rId20" Type="http://schemas.openxmlformats.org/officeDocument/2006/relationships/hyperlink" Target="http://www.inrs.fr/media.html?refINRS=ED%206208" TargetMode="External"/><Relationship Id="rId29" Type="http://schemas.openxmlformats.org/officeDocument/2006/relationships/hyperlink" Target="https://www.ameli.fr/sites/default/files/Documents/6858/document/r307.pdf" TargetMode="External"/><Relationship Id="rId41" Type="http://schemas.openxmlformats.org/officeDocument/2006/relationships/hyperlink" Target="https://www.ameli.fr/sites/default/files/Documents/6851/document/r283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jennifer.shettle\AppData\Local\Temp\notes251A2C\TS683page22_Transport%20routier%20de%20marchandises%20et%20logistique.%20Le%20secteur%20&#233;volue%20et%20les%20outils%20s'adaptent..pdf" TargetMode="External"/><Relationship Id="rId24" Type="http://schemas.openxmlformats.org/officeDocument/2006/relationships/hyperlink" Target="file:///C:\Users\jennifer.shettle\AppData\Local\Temp\notes251A2C\TS739page44Maintien%20dans%20l'emploi.%20Une%20mobilisation%20sans%20failles..pdf" TargetMode="External"/><Relationship Id="rId32" Type="http://schemas.openxmlformats.org/officeDocument/2006/relationships/hyperlink" Target="https://www.ameli.fr/sites/default/files/Documents/31225/document/r450.pdf" TargetMode="External"/><Relationship Id="rId37" Type="http://schemas.openxmlformats.org/officeDocument/2006/relationships/hyperlink" Target="file:///C:\Users\jennifer.shettle\AppData\Local\Temp\notes251A2C\ec6_Organisation%20et%20activit&#233;s%20de%20maintenance%20analyse%20ergonomique.pdf" TargetMode="External"/><Relationship Id="rId40" Type="http://schemas.openxmlformats.org/officeDocument/2006/relationships/hyperlink" Target="http://www.inrs.fr/media.html?refINRS=TF%20161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ravail-et-securite.fr/visu/ts/ArticleTS/TI-TS769_INRS_P26-27.html" TargetMode="External"/><Relationship Id="rId23" Type="http://schemas.openxmlformats.org/officeDocument/2006/relationships/hyperlink" Target="http://www.inrs.fr/media.html?refINRS=ED%206189" TargetMode="External"/><Relationship Id="rId28" Type="http://schemas.openxmlformats.org/officeDocument/2006/relationships/hyperlink" Target="https://www.ameli.fr/sites/default/files/Documents/6259/document/r227.pdf" TargetMode="External"/><Relationship Id="rId36" Type="http://schemas.openxmlformats.org/officeDocument/2006/relationships/hyperlink" Target="http://www.hst.fr/pages-de-recherche/recherche.html?keywords=Droit+de+retrait+du+salari%C3%A9+et+le+sentiment+d%27ins%C3%A9curit%C3%A9+en+cas+d%27agression.&amp;x=0&amp;y=0" TargetMode="External"/><Relationship Id="rId10" Type="http://schemas.openxmlformats.org/officeDocument/2006/relationships/hyperlink" Target="https://www.legifrance.gouv.fr/affichTexte.do?cidTexte=JORFTEXT000026310765&amp;categorieLien=id" TargetMode="External"/><Relationship Id="rId19" Type="http://schemas.openxmlformats.org/officeDocument/2006/relationships/hyperlink" Target="http://www.rst-sante-travail.fr/rst/pages-article/ArticleRST.html?ref=RST.AC%2082" TargetMode="External"/><Relationship Id="rId31" Type="http://schemas.openxmlformats.org/officeDocument/2006/relationships/hyperlink" Target="https://www.ameli.fr/sites/default/files/Documents/31222/document/r449.pdf" TargetMode="External"/><Relationship Id="rId44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affichTexte.do?cidTexte=JORFTEXT000000696475&amp;categorieLien=id" TargetMode="External"/><Relationship Id="rId14" Type="http://schemas.openxmlformats.org/officeDocument/2006/relationships/hyperlink" Target="http://www.travail-et-securite.fr/visu/ts/ArticleTS/TI-TS770_INRS_P40-42.html" TargetMode="External"/><Relationship Id="rId22" Type="http://schemas.openxmlformats.org/officeDocument/2006/relationships/hyperlink" Target="http://www.travail-et-securite.fr/visu/ts/ArticleTS/TI-TS749page52_54.html" TargetMode="External"/><Relationship Id="rId27" Type="http://schemas.openxmlformats.org/officeDocument/2006/relationships/hyperlink" Target="http://www.inrs.fr/media.html?refINRS=ED%20826" TargetMode="External"/><Relationship Id="rId30" Type="http://schemas.openxmlformats.org/officeDocument/2006/relationships/hyperlink" Target="https://www.ameli.fr/sites/default/files/Documents/6857/document/r306.pdf" TargetMode="External"/><Relationship Id="rId35" Type="http://schemas.openxmlformats.org/officeDocument/2006/relationships/hyperlink" Target="http://www.travail-et-securite.fr/visu/ts/ArticleTS/TI-TS786_INRS_53.html" TargetMode="External"/><Relationship Id="rId43" Type="http://schemas.openxmlformats.org/officeDocument/2006/relationships/hyperlink" Target="https://www.ameli.fr/sites/default/files/Documents/6882/document/r375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B304-640A-486B-A7E6-117C82AD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2432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LANOUZIERE, Herve</dc:creator>
  <cp:lastModifiedBy>LANOUZIERE, Herve</cp:lastModifiedBy>
  <cp:revision>23</cp:revision>
  <dcterms:created xsi:type="dcterms:W3CDTF">2019-02-11T16:14:00Z</dcterms:created>
  <dcterms:modified xsi:type="dcterms:W3CDTF">2019-03-25T20:47:00Z</dcterms:modified>
</cp:coreProperties>
</file>