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51" w:rsidRDefault="00624936" w:rsidP="00624936">
      <w:pPr>
        <w:jc w:val="center"/>
      </w:pPr>
      <w:r w:rsidRPr="00EF011F">
        <w:rPr>
          <w:b/>
          <w:sz w:val="32"/>
          <w:szCs w:val="32"/>
        </w:rPr>
        <w:t>Fiche technique</w:t>
      </w:r>
      <w:r w:rsidR="00343251" w:rsidRPr="00343251">
        <w:t xml:space="preserve"> </w:t>
      </w:r>
    </w:p>
    <w:p w:rsidR="005A25CF" w:rsidRPr="00EF011F" w:rsidRDefault="0044748B" w:rsidP="006249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Secteur </w:t>
      </w:r>
      <w:r w:rsidR="004C2E9A">
        <w:rPr>
          <w:b/>
          <w:sz w:val="32"/>
          <w:szCs w:val="32"/>
        </w:rPr>
        <w:t>maritime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B20DA3" w:rsidTr="00331B06">
        <w:tc>
          <w:tcPr>
            <w:tcW w:w="9212" w:type="dxa"/>
            <w:shd w:val="clear" w:color="auto" w:fill="92D050"/>
          </w:tcPr>
          <w:p w:rsidR="00B20DA3" w:rsidRDefault="00221676" w:rsidP="00221676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B20DA3">
              <w:rPr>
                <w:b/>
              </w:rPr>
              <w:t xml:space="preserve">omenclature </w:t>
            </w:r>
            <w:r>
              <w:rPr>
                <w:b/>
              </w:rPr>
              <w:t>PCS</w:t>
            </w:r>
            <w:r w:rsidR="00B20DA3">
              <w:rPr>
                <w:b/>
              </w:rPr>
              <w:t xml:space="preserve"> ESE</w:t>
            </w:r>
            <w:r w:rsidR="00C54128">
              <w:rPr>
                <w:b/>
              </w:rPr>
              <w:t xml:space="preserve"> et codes NAF principaux</w:t>
            </w:r>
          </w:p>
        </w:tc>
      </w:tr>
      <w:tr w:rsidR="00B20DA3" w:rsidRPr="00B20DA3" w:rsidTr="00331B06">
        <w:tc>
          <w:tcPr>
            <w:tcW w:w="9212" w:type="dxa"/>
          </w:tcPr>
          <w:p w:rsidR="00F257C7" w:rsidRPr="00314B24" w:rsidRDefault="00F257C7" w:rsidP="00221676">
            <w:pPr>
              <w:pStyle w:val="Paragraphedeliste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389c :</w:t>
            </w:r>
            <w:r w:rsidR="004C2E9A" w:rsidRPr="00314B24">
              <w:rPr>
                <w:rFonts w:ascii="Times New Roman" w:hAnsi="Times New Roman" w:cs="Times New Roman"/>
              </w:rPr>
              <w:t xml:space="preserve"> </w:t>
            </w:r>
            <w:r w:rsidRPr="00314B24">
              <w:rPr>
                <w:rFonts w:ascii="Times New Roman" w:hAnsi="Times New Roman" w:cs="Times New Roman"/>
              </w:rPr>
              <w:t>Officiers et cadres navigants techniques de la marine marchande</w:t>
            </w:r>
          </w:p>
          <w:p w:rsidR="0044748B" w:rsidRPr="00314B24" w:rsidRDefault="00F257C7" w:rsidP="00221676">
            <w:pPr>
              <w:pStyle w:val="Paragraphedeliste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480b : Maîtres d'équipage de la marine marchande et de la pêche</w:t>
            </w:r>
          </w:p>
          <w:p w:rsidR="004C2E9A" w:rsidRPr="00314B24" w:rsidRDefault="004C2E9A" w:rsidP="00221676">
            <w:pPr>
              <w:pStyle w:val="Paragraphedeliste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656b :</w:t>
            </w:r>
            <w:r w:rsidRPr="00314B24">
              <w:rPr>
                <w:rFonts w:ascii="Times New Roman" w:hAnsi="Times New Roman" w:cs="Times New Roman"/>
              </w:rPr>
              <w:tab/>
              <w:t>Matelots de la marine marchande</w:t>
            </w:r>
          </w:p>
          <w:p w:rsidR="004F66EB" w:rsidRPr="00314B24" w:rsidRDefault="004F66EB" w:rsidP="00221676">
            <w:pPr>
              <w:pStyle w:val="Paragraphedeliste"/>
              <w:numPr>
                <w:ilvl w:val="0"/>
                <w:numId w:val="29"/>
              </w:numPr>
            </w:pPr>
            <w:r w:rsidRPr="00314B24">
              <w:rPr>
                <w:rFonts w:ascii="Times New Roman" w:hAnsi="Times New Roman" w:cs="Times New Roman"/>
              </w:rPr>
              <w:t>692a : Marins pêcheurs et ouvriers de l'aquaculture</w:t>
            </w:r>
          </w:p>
          <w:p w:rsidR="00C54128" w:rsidRPr="00020215" w:rsidRDefault="00C54128" w:rsidP="0051171E">
            <w:pPr>
              <w:pStyle w:val="Paragraphedeliste"/>
              <w:numPr>
                <w:ilvl w:val="0"/>
                <w:numId w:val="29"/>
              </w:numPr>
            </w:pPr>
            <w:r w:rsidRPr="00314B24">
              <w:rPr>
                <w:rFonts w:ascii="Times New Roman" w:eastAsia="Times New Roman" w:hAnsi="Times New Roman" w:cs="Times New Roman"/>
                <w:b/>
                <w:lang w:eastAsia="fr-FR"/>
              </w:rPr>
              <w:t xml:space="preserve">Codes NAF : </w:t>
            </w: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>50.10Z : transports maritimes et côtiers de passagers ; 50.20Z : transports maritimes et côtiers de fret ; 0311Z : Pêche en mer</w:t>
            </w:r>
            <w:r w:rsidR="0051171E">
              <w:rPr>
                <w:rFonts w:ascii="Times New Roman" w:eastAsia="Times New Roman" w:hAnsi="Times New Roman" w:cs="Times New Roman"/>
                <w:lang w:eastAsia="fr-FR"/>
              </w:rPr>
              <w:t xml:space="preserve"> ; </w:t>
            </w:r>
            <w:r w:rsidR="0051171E" w:rsidRPr="0051171E">
              <w:rPr>
                <w:rFonts w:ascii="Times New Roman" w:eastAsia="Times New Roman" w:hAnsi="Times New Roman" w:cs="Times New Roman"/>
                <w:lang w:eastAsia="fr-FR"/>
              </w:rPr>
              <w:t>03.21Z</w:t>
            </w:r>
            <w:r w:rsidR="0051171E">
              <w:rPr>
                <w:rFonts w:ascii="Times New Roman" w:eastAsia="Times New Roman" w:hAnsi="Times New Roman" w:cs="Times New Roman"/>
                <w:lang w:eastAsia="fr-FR"/>
              </w:rPr>
              <w:t> :</w:t>
            </w:r>
            <w:r w:rsidR="0051171E" w:rsidRPr="0051171E">
              <w:rPr>
                <w:rFonts w:ascii="Times New Roman" w:eastAsia="Times New Roman" w:hAnsi="Times New Roman" w:cs="Times New Roman"/>
                <w:lang w:eastAsia="fr-FR"/>
              </w:rPr>
              <w:t xml:space="preserve"> activités d'aquaculture en mer</w:t>
            </w:r>
          </w:p>
          <w:p w:rsidR="00020215" w:rsidRPr="00EA7C1F" w:rsidRDefault="00020215" w:rsidP="00020215">
            <w:pPr>
              <w:pStyle w:val="TTableau"/>
              <w:rPr>
                <w:lang w:eastAsia="fr-FR"/>
              </w:rPr>
            </w:pPr>
            <w:r w:rsidRPr="00EA7C1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entreprises d’armement maritime ayant plus de 20 marins</w:t>
            </w:r>
          </w:p>
          <w:tbl>
            <w:tblPr>
              <w:tblStyle w:val="Grilledutableau1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2266"/>
              <w:gridCol w:w="6801"/>
            </w:tblGrid>
            <w:tr w:rsidR="00020215" w:rsidRPr="00EA7C1F" w:rsidTr="001D04A1">
              <w:tc>
                <w:tcPr>
                  <w:tcW w:w="2266" w:type="dxa"/>
                </w:tcPr>
                <w:p w:rsidR="00020215" w:rsidRPr="00EA7C1F" w:rsidRDefault="00020215" w:rsidP="001D04A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fr-FR"/>
                    </w:rPr>
                    <w:t>Secteur maritime</w:t>
                  </w:r>
                </w:p>
              </w:tc>
              <w:tc>
                <w:tcPr>
                  <w:tcW w:w="6801" w:type="dxa"/>
                </w:tcPr>
                <w:p w:rsidR="00020215" w:rsidRPr="00EA7C1F" w:rsidRDefault="00020215" w:rsidP="001D04A1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fr-FR"/>
                    </w:rPr>
                    <w:t>Entreprises ayant plus de 20 marins</w:t>
                  </w:r>
                </w:p>
              </w:tc>
            </w:tr>
            <w:tr w:rsidR="00020215" w:rsidRPr="00EA7C1F" w:rsidTr="001D04A1">
              <w:tc>
                <w:tcPr>
                  <w:tcW w:w="2266" w:type="dxa"/>
                </w:tcPr>
                <w:p w:rsidR="00020215" w:rsidRPr="00EA7C1F" w:rsidRDefault="00020215" w:rsidP="001D04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Activité portuaire</w:t>
                  </w:r>
                </w:p>
              </w:tc>
              <w:tc>
                <w:tcPr>
                  <w:tcW w:w="6801" w:type="dxa"/>
                </w:tcPr>
                <w:p w:rsidR="00020215" w:rsidRPr="00EA7C1F" w:rsidRDefault="00020215" w:rsidP="00020215">
                  <w:pPr>
                    <w:numPr>
                      <w:ilvl w:val="0"/>
                      <w:numId w:val="33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 entreprises de plus de 150 marins</w:t>
                  </w:r>
                </w:p>
                <w:p w:rsidR="00020215" w:rsidRPr="00EA7C1F" w:rsidRDefault="00020215" w:rsidP="00020215">
                  <w:pPr>
                    <w:numPr>
                      <w:ilvl w:val="0"/>
                      <w:numId w:val="33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 entreprise de plus de 100 marins</w:t>
                  </w:r>
                </w:p>
                <w:p w:rsidR="00020215" w:rsidRPr="00EA7C1F" w:rsidRDefault="00020215" w:rsidP="00020215">
                  <w:pPr>
                    <w:numPr>
                      <w:ilvl w:val="0"/>
                      <w:numId w:val="33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 entreprises de plus de 50 marins</w:t>
                  </w:r>
                </w:p>
                <w:p w:rsidR="00020215" w:rsidRPr="00EA7C1F" w:rsidRDefault="00020215" w:rsidP="00020215">
                  <w:pPr>
                    <w:numPr>
                      <w:ilvl w:val="0"/>
                      <w:numId w:val="33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13 entreprises d’au moins 20 marins</w:t>
                  </w:r>
                </w:p>
              </w:tc>
            </w:tr>
            <w:tr w:rsidR="00020215" w:rsidRPr="00EA7C1F" w:rsidTr="001D04A1">
              <w:tc>
                <w:tcPr>
                  <w:tcW w:w="2266" w:type="dxa"/>
                </w:tcPr>
                <w:p w:rsidR="00020215" w:rsidRPr="00EA7C1F" w:rsidRDefault="00020215" w:rsidP="001D04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commerce</w:t>
                  </w:r>
                </w:p>
              </w:tc>
              <w:tc>
                <w:tcPr>
                  <w:tcW w:w="6801" w:type="dxa"/>
                </w:tcPr>
                <w:p w:rsidR="00020215" w:rsidRPr="00EA7C1F" w:rsidRDefault="00020215" w:rsidP="00020215">
                  <w:pPr>
                    <w:numPr>
                      <w:ilvl w:val="0"/>
                      <w:numId w:val="34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7 entreprises d’au moins 300 marins</w:t>
                  </w:r>
                </w:p>
                <w:p w:rsidR="00020215" w:rsidRPr="00EA7C1F" w:rsidRDefault="00020215" w:rsidP="00020215">
                  <w:pPr>
                    <w:numPr>
                      <w:ilvl w:val="0"/>
                      <w:numId w:val="34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 entreprise d’au moins 250 marins</w:t>
                  </w:r>
                </w:p>
                <w:p w:rsidR="00020215" w:rsidRPr="00EA7C1F" w:rsidRDefault="00020215" w:rsidP="00020215">
                  <w:pPr>
                    <w:numPr>
                      <w:ilvl w:val="0"/>
                      <w:numId w:val="34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 entreprise d’au moins 200 marins</w:t>
                  </w:r>
                </w:p>
                <w:p w:rsidR="00020215" w:rsidRPr="00EA7C1F" w:rsidRDefault="00020215" w:rsidP="00020215">
                  <w:pPr>
                    <w:numPr>
                      <w:ilvl w:val="0"/>
                      <w:numId w:val="34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 entreprises d’au moins 100 marins</w:t>
                  </w:r>
                </w:p>
                <w:p w:rsidR="00020215" w:rsidRPr="00EA7C1F" w:rsidRDefault="00020215" w:rsidP="00020215">
                  <w:pPr>
                    <w:numPr>
                      <w:ilvl w:val="0"/>
                      <w:numId w:val="34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10 entreprises d’au moins 50 marins</w:t>
                  </w:r>
                </w:p>
                <w:p w:rsidR="00020215" w:rsidRPr="00EA7C1F" w:rsidRDefault="00020215" w:rsidP="00020215">
                  <w:pPr>
                    <w:numPr>
                      <w:ilvl w:val="0"/>
                      <w:numId w:val="34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23 entreprises d’au moins 20 marins</w:t>
                  </w:r>
                </w:p>
              </w:tc>
            </w:tr>
            <w:tr w:rsidR="00020215" w:rsidRPr="00EA7C1F" w:rsidTr="001D04A1">
              <w:tc>
                <w:tcPr>
                  <w:tcW w:w="2266" w:type="dxa"/>
                </w:tcPr>
                <w:p w:rsidR="00020215" w:rsidRPr="00EA7C1F" w:rsidRDefault="00020215" w:rsidP="001D04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pêche</w:t>
                  </w:r>
                </w:p>
              </w:tc>
              <w:tc>
                <w:tcPr>
                  <w:tcW w:w="6801" w:type="dxa"/>
                </w:tcPr>
                <w:p w:rsidR="00020215" w:rsidRPr="00EA7C1F" w:rsidRDefault="00020215" w:rsidP="00020215">
                  <w:pPr>
                    <w:numPr>
                      <w:ilvl w:val="0"/>
                      <w:numId w:val="35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 entreprise d’au moins 200 marins</w:t>
                  </w:r>
                </w:p>
                <w:p w:rsidR="00020215" w:rsidRPr="00EA7C1F" w:rsidRDefault="00020215" w:rsidP="00020215">
                  <w:pPr>
                    <w:numPr>
                      <w:ilvl w:val="0"/>
                      <w:numId w:val="35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3 entreprises d’au moins 100 marins</w:t>
                  </w:r>
                </w:p>
                <w:p w:rsidR="00020215" w:rsidRPr="00EA7C1F" w:rsidRDefault="00020215" w:rsidP="00020215">
                  <w:pPr>
                    <w:numPr>
                      <w:ilvl w:val="0"/>
                      <w:numId w:val="35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8 entreprises d’au moins 50 marins</w:t>
                  </w:r>
                </w:p>
                <w:p w:rsidR="00020215" w:rsidRPr="00EA7C1F" w:rsidRDefault="00020215" w:rsidP="00020215">
                  <w:pPr>
                    <w:numPr>
                      <w:ilvl w:val="0"/>
                      <w:numId w:val="35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14 entreprises d’au moins 20 marins</w:t>
                  </w:r>
                </w:p>
                <w:p w:rsidR="00020215" w:rsidRPr="00EA7C1F" w:rsidRDefault="00020215" w:rsidP="00020215">
                  <w:pPr>
                    <w:numPr>
                      <w:ilvl w:val="0"/>
                      <w:numId w:val="35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23 entreprises d’au moins 20 marins</w:t>
                  </w:r>
                </w:p>
              </w:tc>
            </w:tr>
            <w:tr w:rsidR="00020215" w:rsidRPr="00EA7C1F" w:rsidTr="001D04A1">
              <w:tc>
                <w:tcPr>
                  <w:tcW w:w="2266" w:type="dxa"/>
                </w:tcPr>
                <w:p w:rsidR="00020215" w:rsidRPr="00EA7C1F" w:rsidRDefault="00020215" w:rsidP="001D04A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conchyliculture</w:t>
                  </w:r>
                </w:p>
              </w:tc>
              <w:tc>
                <w:tcPr>
                  <w:tcW w:w="6801" w:type="dxa"/>
                </w:tcPr>
                <w:p w:rsidR="00020215" w:rsidRPr="00EA7C1F" w:rsidRDefault="00020215" w:rsidP="00020215">
                  <w:pPr>
                    <w:numPr>
                      <w:ilvl w:val="0"/>
                      <w:numId w:val="36"/>
                    </w:num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A7C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 entreprises de plus de 20 marins</w:t>
                  </w:r>
                </w:p>
              </w:tc>
            </w:tr>
          </w:tbl>
          <w:p w:rsidR="00020215" w:rsidRPr="00B20DA3" w:rsidRDefault="00020215" w:rsidP="00020215">
            <w:pPr>
              <w:pStyle w:val="Paragraphedeliste"/>
            </w:pPr>
            <w:r w:rsidRPr="00020215">
              <w:rPr>
                <w:i/>
              </w:rPr>
              <w:t> Source</w:t>
            </w:r>
            <w:r>
              <w:t xml:space="preserve"> : </w:t>
            </w:r>
            <w:r w:rsidRPr="00020215">
              <w:rPr>
                <w:i/>
              </w:rPr>
              <w:t>Direction des affaires maritimes</w:t>
            </w:r>
            <w:r>
              <w:rPr>
                <w:i/>
              </w:rPr>
              <w:t>/MTES</w:t>
            </w:r>
          </w:p>
        </w:tc>
      </w:tr>
      <w:tr w:rsidR="00221676" w:rsidRPr="00B20DA3" w:rsidTr="00331B06">
        <w:tc>
          <w:tcPr>
            <w:tcW w:w="9212" w:type="dxa"/>
            <w:shd w:val="clear" w:color="auto" w:fill="92D050"/>
          </w:tcPr>
          <w:p w:rsidR="00221676" w:rsidRPr="002E3D1C" w:rsidRDefault="00221676" w:rsidP="002213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Conventions collectives</w:t>
            </w:r>
            <w:r w:rsidR="00C541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et représentativité parmi les ECAP</w:t>
            </w:r>
          </w:p>
        </w:tc>
      </w:tr>
      <w:tr w:rsidR="00221676" w:rsidRPr="00B20DA3" w:rsidTr="00331B06">
        <w:tc>
          <w:tcPr>
            <w:tcW w:w="9212" w:type="dxa"/>
            <w:shd w:val="clear" w:color="auto" w:fill="auto"/>
          </w:tcPr>
          <w:p w:rsidR="00221676" w:rsidRPr="00314B24" w:rsidRDefault="00221676" w:rsidP="00221676">
            <w:pPr>
              <w:pStyle w:val="Paragraphedeliste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>Convention collective nationale des officiers des entreprises de transport et services maritimes (IDCC 3223)</w:t>
            </w:r>
          </w:p>
          <w:p w:rsidR="00221676" w:rsidRPr="00314B24" w:rsidRDefault="00221676" w:rsidP="00221676">
            <w:pPr>
              <w:pStyle w:val="Paragraphedeliste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>Convention collective nationale du personnel navigant d'exécution du transport maritime</w:t>
            </w:r>
            <w:r w:rsidR="007238D1">
              <w:rPr>
                <w:rFonts w:ascii="Times New Roman" w:eastAsia="Times New Roman" w:hAnsi="Times New Roman" w:cs="Times New Roman"/>
                <w:lang w:eastAsia="fr-FR"/>
              </w:rPr>
              <w:t xml:space="preserve"> (IDCC 5521)</w:t>
            </w:r>
          </w:p>
          <w:p w:rsidR="00DD1E15" w:rsidRPr="00314B24" w:rsidRDefault="00DD1E15" w:rsidP="00DD1E15">
            <w:pPr>
              <w:pStyle w:val="Paragraphedeliste"/>
              <w:numPr>
                <w:ilvl w:val="1"/>
                <w:numId w:val="27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Parmi les 10105 salariés de l’effectif d’assujettissement des établissements ayant pour activité le transport maritime et côtier de </w:t>
            </w:r>
            <w:r w:rsidRPr="00314B24">
              <w:rPr>
                <w:rFonts w:ascii="Times New Roman" w:eastAsia="Times New Roman" w:hAnsi="Times New Roman" w:cs="Times New Roman"/>
                <w:b/>
                <w:lang w:eastAsia="fr-FR"/>
              </w:rPr>
              <w:t>passagers</w:t>
            </w: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 (NAF 50.10Z), 2729 salariés en </w:t>
            </w:r>
            <w:proofErr w:type="spellStart"/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>Etp</w:t>
            </w:r>
            <w:proofErr w:type="spellEnd"/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 exercent des métiers ECAP (480b, 389c, 656b). L’intégralité des métiers </w:t>
            </w:r>
            <w:proofErr w:type="spellStart"/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>Ecap</w:t>
            </w:r>
            <w:proofErr w:type="spellEnd"/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 représente 27 % de l’effectif d’assujettissement de cette activité</w:t>
            </w:r>
            <w:r w:rsidRPr="00314B24">
              <w:rPr>
                <w:rStyle w:val="Appelnotedebasdep"/>
                <w:rFonts w:ascii="Times New Roman" w:eastAsia="Times New Roman" w:hAnsi="Times New Roman" w:cs="Times New Roman"/>
                <w:lang w:eastAsia="fr-FR"/>
              </w:rPr>
              <w:footnoteReference w:id="1"/>
            </w: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</w:p>
          <w:p w:rsidR="009837B6" w:rsidRPr="00314B24" w:rsidRDefault="009837B6" w:rsidP="009837B6">
            <w:pPr>
              <w:pStyle w:val="Paragraphedeliste"/>
              <w:numPr>
                <w:ilvl w:val="1"/>
                <w:numId w:val="27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21,2 % des ECAP  déclarés au titre du PCS 389C proviennent d’entreprises relevant du code NAF 50.10Z - Transports maritimes et côtiers de </w:t>
            </w:r>
            <w:r w:rsidRPr="00314B24">
              <w:rPr>
                <w:rFonts w:ascii="Times New Roman" w:eastAsia="Times New Roman" w:hAnsi="Times New Roman" w:cs="Times New Roman"/>
                <w:b/>
                <w:lang w:eastAsia="fr-FR"/>
              </w:rPr>
              <w:t>passagers</w:t>
            </w:r>
            <w:r w:rsidR="00D26185" w:rsidRPr="00314B24">
              <w:rPr>
                <w:rStyle w:val="Appelnotedebasdep"/>
                <w:rFonts w:ascii="Times New Roman" w:eastAsia="Times New Roman" w:hAnsi="Times New Roman" w:cs="Times New Roman"/>
                <w:b/>
                <w:lang w:eastAsia="fr-FR"/>
              </w:rPr>
              <w:footnoteReference w:id="2"/>
            </w:r>
          </w:p>
          <w:p w:rsidR="00DD1E15" w:rsidRPr="00314B24" w:rsidRDefault="00DD1E15" w:rsidP="00DD1E15">
            <w:pPr>
              <w:pStyle w:val="Paragraphedeliste"/>
              <w:numPr>
                <w:ilvl w:val="1"/>
                <w:numId w:val="27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Parmi les 6027 salariés de l’effectif d’assujettissement des établissements ayant pour activité </w:t>
            </w:r>
            <w:r w:rsidR="000C361A"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le transport maritime et côtier de </w:t>
            </w:r>
            <w:r w:rsidR="000C361A" w:rsidRPr="00314B24">
              <w:rPr>
                <w:rFonts w:ascii="Times New Roman" w:eastAsia="Times New Roman" w:hAnsi="Times New Roman" w:cs="Times New Roman"/>
                <w:b/>
                <w:lang w:eastAsia="fr-FR"/>
              </w:rPr>
              <w:t>fret</w:t>
            </w:r>
            <w:r w:rsidR="000C361A"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 (NAF 50.20Z)</w:t>
            </w: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, </w:t>
            </w:r>
            <w:r w:rsidR="000C361A"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1603 </w:t>
            </w: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salariés en </w:t>
            </w:r>
            <w:proofErr w:type="spellStart"/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>Etp</w:t>
            </w:r>
            <w:proofErr w:type="spellEnd"/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 exercent des métiers ECAP (480b</w:t>
            </w:r>
            <w:r w:rsidR="000C361A" w:rsidRPr="00314B24">
              <w:rPr>
                <w:rFonts w:ascii="Times New Roman" w:eastAsia="Times New Roman" w:hAnsi="Times New Roman" w:cs="Times New Roman"/>
                <w:lang w:eastAsia="fr-FR"/>
              </w:rPr>
              <w:t>, 389c, 656b)</w:t>
            </w: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. L’intégralité des métiers </w:t>
            </w:r>
            <w:proofErr w:type="spellStart"/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>Ecap</w:t>
            </w:r>
            <w:proofErr w:type="spellEnd"/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 de </w:t>
            </w: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t xml:space="preserve">cette étude représente </w:t>
            </w:r>
            <w:r w:rsidR="000C361A" w:rsidRPr="00314B24">
              <w:rPr>
                <w:rFonts w:ascii="Times New Roman" w:eastAsia="Times New Roman" w:hAnsi="Times New Roman" w:cs="Times New Roman"/>
                <w:lang w:eastAsia="fr-FR"/>
              </w:rPr>
              <w:t>également 27</w:t>
            </w: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 % de l’effectif d’assujettissement de cette activité</w:t>
            </w:r>
            <w:r w:rsidR="000C361A" w:rsidRPr="00314B24">
              <w:rPr>
                <w:rStyle w:val="Appelnotedebasdep"/>
                <w:rFonts w:ascii="Times New Roman" w:eastAsia="Times New Roman" w:hAnsi="Times New Roman" w:cs="Times New Roman"/>
                <w:lang w:eastAsia="fr-FR"/>
              </w:rPr>
              <w:footnoteReference w:id="3"/>
            </w: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</w:p>
          <w:p w:rsidR="009837B6" w:rsidRPr="00314B24" w:rsidRDefault="009837B6" w:rsidP="009837B6">
            <w:pPr>
              <w:pStyle w:val="Paragraphedeliste"/>
              <w:numPr>
                <w:ilvl w:val="1"/>
                <w:numId w:val="27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32,3 % des ECAP  déclarés au titre du PCS 389C proviennent d’entreprises relevant du code NAF 50.20Z - Transports maritimes et côtiers de </w:t>
            </w:r>
            <w:r w:rsidRPr="00314B24">
              <w:rPr>
                <w:rFonts w:ascii="Times New Roman" w:eastAsia="Times New Roman" w:hAnsi="Times New Roman" w:cs="Times New Roman"/>
                <w:b/>
                <w:lang w:eastAsia="fr-FR"/>
              </w:rPr>
              <w:t>fret</w:t>
            </w:r>
          </w:p>
          <w:p w:rsidR="00221676" w:rsidRPr="00314B24" w:rsidRDefault="00221676" w:rsidP="00221676">
            <w:pPr>
              <w:pStyle w:val="Paragraphedeliste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>Convention collective nationale de la pêche professionnelle maritime</w:t>
            </w:r>
            <w:r w:rsidR="007238D1">
              <w:rPr>
                <w:rFonts w:ascii="Times New Roman" w:eastAsia="Times New Roman" w:hAnsi="Times New Roman" w:cs="Times New Roman"/>
                <w:lang w:eastAsia="fr-FR"/>
              </w:rPr>
              <w:t xml:space="preserve"> (IDCC 5619)</w:t>
            </w:r>
          </w:p>
          <w:p w:rsidR="00C54128" w:rsidRPr="00314B24" w:rsidRDefault="00C54128" w:rsidP="00C54128">
            <w:pPr>
              <w:pStyle w:val="Paragraphedeliste"/>
              <w:numPr>
                <w:ilvl w:val="1"/>
                <w:numId w:val="27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Parmi les 1 728 salariés de l’effectif d’assujettissement des établissements ayant pour activité la pêche en mer, 869 salariés en </w:t>
            </w:r>
            <w:proofErr w:type="spellStart"/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>Etp</w:t>
            </w:r>
            <w:proofErr w:type="spellEnd"/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 exercent des métiers ECAP (480b : Maîtres d'équipage de la marine marchande et de la pêche ou 692a : Marins pêcheurs et ouvriers de l'aquaculture). L’intégralité des métiers </w:t>
            </w:r>
            <w:proofErr w:type="spellStart"/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>Ecap</w:t>
            </w:r>
            <w:proofErr w:type="spellEnd"/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 représente 50 % de l’effectif d’assujettissement de cette activité</w:t>
            </w:r>
            <w:r w:rsidR="00DD1E15" w:rsidRPr="00314B24">
              <w:rPr>
                <w:rStyle w:val="Appelnotedebasdep"/>
                <w:rFonts w:ascii="Times New Roman" w:eastAsia="Times New Roman" w:hAnsi="Times New Roman" w:cs="Times New Roman"/>
                <w:lang w:eastAsia="fr-FR"/>
              </w:rPr>
              <w:footnoteReference w:id="4"/>
            </w: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>.</w:t>
            </w:r>
          </w:p>
          <w:p w:rsidR="00221676" w:rsidRPr="00314B24" w:rsidRDefault="00221676" w:rsidP="00221676">
            <w:pPr>
              <w:pStyle w:val="Paragraphedeliste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>Convention collective nationale des officiers du Remorquage maritime</w:t>
            </w:r>
            <w:r w:rsidR="007238D1">
              <w:rPr>
                <w:rFonts w:ascii="Times New Roman" w:eastAsia="Times New Roman" w:hAnsi="Times New Roman" w:cs="Times New Roman"/>
                <w:lang w:eastAsia="fr-FR"/>
              </w:rPr>
              <w:t xml:space="preserve"> (IDCC 5554)</w:t>
            </w:r>
          </w:p>
          <w:p w:rsidR="00221676" w:rsidRDefault="00221676" w:rsidP="00221676">
            <w:pPr>
              <w:pStyle w:val="Paragraphedeliste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>Convention collective nationale des navigants d'exécution du Remorquage maritime</w:t>
            </w:r>
            <w:r w:rsidR="007238D1">
              <w:rPr>
                <w:rFonts w:ascii="Times New Roman" w:eastAsia="Times New Roman" w:hAnsi="Times New Roman" w:cs="Times New Roman"/>
                <w:lang w:eastAsia="fr-FR"/>
              </w:rPr>
              <w:t xml:space="preserve"> (IDCC 5555)</w:t>
            </w:r>
          </w:p>
          <w:p w:rsidR="007238D1" w:rsidRDefault="007238D1" w:rsidP="007238D1">
            <w:pPr>
              <w:pStyle w:val="Paragraphedeliste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C</w:t>
            </w:r>
            <w:r w:rsidRPr="007238D1">
              <w:rPr>
                <w:rFonts w:ascii="Times New Roman" w:eastAsia="Times New Roman" w:hAnsi="Times New Roman" w:cs="Times New Roman"/>
                <w:lang w:eastAsia="fr-FR"/>
              </w:rPr>
              <w:t>onvention collective nationale groupement des armateurs de service de passages d'eau personnels officiers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(IDCC 5556)</w:t>
            </w:r>
          </w:p>
          <w:p w:rsidR="007238D1" w:rsidRDefault="007238D1" w:rsidP="007238D1">
            <w:pPr>
              <w:pStyle w:val="Paragraphedeliste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C</w:t>
            </w:r>
            <w:r w:rsidRPr="007238D1">
              <w:rPr>
                <w:rFonts w:ascii="Times New Roman" w:eastAsia="Times New Roman" w:hAnsi="Times New Roman" w:cs="Times New Roman"/>
                <w:lang w:eastAsia="fr-FR"/>
              </w:rPr>
              <w:t>onvention collective nationale groupement des armateurs de service de passages d'eau personnels navigants d'appui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(IDCC 5557)</w:t>
            </w:r>
          </w:p>
          <w:p w:rsidR="007238D1" w:rsidRPr="00314B24" w:rsidRDefault="007238D1" w:rsidP="007238D1">
            <w:pPr>
              <w:pStyle w:val="Paragraphedeliste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C</w:t>
            </w:r>
            <w:r w:rsidRPr="007238D1">
              <w:rPr>
                <w:rFonts w:ascii="Times New Roman" w:eastAsia="Times New Roman" w:hAnsi="Times New Roman" w:cs="Times New Roman"/>
                <w:lang w:eastAsia="fr-FR"/>
              </w:rPr>
              <w:t>onvention collective nationale de la conchyliculture</w:t>
            </w:r>
            <w:r>
              <w:rPr>
                <w:rFonts w:ascii="Times New Roman" w:eastAsia="Times New Roman" w:hAnsi="Times New Roman" w:cs="Times New Roman"/>
                <w:lang w:eastAsia="fr-FR"/>
              </w:rPr>
              <w:t xml:space="preserve"> (IDCC 7019)</w:t>
            </w:r>
          </w:p>
          <w:p w:rsidR="00A37330" w:rsidRPr="00314B24" w:rsidRDefault="00A37330" w:rsidP="00A37330">
            <w:pPr>
              <w:rPr>
                <w:rFonts w:ascii="Times New Roman" w:eastAsia="Times New Roman" w:hAnsi="Times New Roman" w:cs="Times New Roman"/>
                <w:b/>
                <w:lang w:eastAsia="fr-FR"/>
              </w:rPr>
            </w:pPr>
          </w:p>
        </w:tc>
      </w:tr>
      <w:tr w:rsidR="00221337" w:rsidRPr="00B20DA3" w:rsidTr="00331B06">
        <w:tc>
          <w:tcPr>
            <w:tcW w:w="9212" w:type="dxa"/>
            <w:shd w:val="clear" w:color="auto" w:fill="92D050"/>
          </w:tcPr>
          <w:p w:rsidR="00221337" w:rsidRPr="00314B24" w:rsidRDefault="00221337" w:rsidP="00221337">
            <w:pPr>
              <w:jc w:val="center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eastAsia="Times New Roman" w:hAnsi="Times New Roman" w:cs="Times New Roman"/>
                <w:b/>
                <w:lang w:eastAsia="fr-FR"/>
              </w:rPr>
              <w:lastRenderedPageBreak/>
              <w:t>Nombre de TH employés sur des emplois ECAP (2017)</w:t>
            </w:r>
            <w:r w:rsidR="00C54128" w:rsidRPr="00314B24">
              <w:rPr>
                <w:rStyle w:val="Appelnotedebasdep"/>
                <w:rFonts w:ascii="Times New Roman" w:eastAsia="Times New Roman" w:hAnsi="Times New Roman" w:cs="Times New Roman"/>
                <w:b/>
                <w:lang w:eastAsia="fr-FR"/>
              </w:rPr>
              <w:footnoteReference w:id="5"/>
            </w:r>
          </w:p>
        </w:tc>
      </w:tr>
      <w:tr w:rsidR="00221337" w:rsidRPr="00B20DA3" w:rsidTr="00331B06">
        <w:tc>
          <w:tcPr>
            <w:tcW w:w="9212" w:type="dxa"/>
          </w:tcPr>
          <w:p w:rsidR="00221337" w:rsidRPr="00314B24" w:rsidRDefault="00221337" w:rsidP="00221676">
            <w:pPr>
              <w:pStyle w:val="Paragraphedelist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389c : 6</w:t>
            </w:r>
          </w:p>
          <w:p w:rsidR="00221337" w:rsidRPr="00314B24" w:rsidRDefault="00221337" w:rsidP="00221676">
            <w:pPr>
              <w:pStyle w:val="Paragraphedelist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480b :1</w:t>
            </w:r>
          </w:p>
          <w:p w:rsidR="00221337" w:rsidRPr="00314B24" w:rsidRDefault="00221337" w:rsidP="00221676">
            <w:pPr>
              <w:pStyle w:val="Paragraphedelist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656b :14</w:t>
            </w:r>
          </w:p>
          <w:p w:rsidR="00221337" w:rsidRPr="00314B24" w:rsidRDefault="00221337" w:rsidP="00221676">
            <w:pPr>
              <w:pStyle w:val="Paragraphedeliste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692a :82</w:t>
            </w:r>
          </w:p>
        </w:tc>
      </w:tr>
      <w:tr w:rsidR="00B20DA3" w:rsidTr="00331B06">
        <w:tc>
          <w:tcPr>
            <w:tcW w:w="9212" w:type="dxa"/>
            <w:shd w:val="clear" w:color="auto" w:fill="92D050"/>
          </w:tcPr>
          <w:p w:rsidR="00B20DA3" w:rsidRPr="00314B24" w:rsidRDefault="00BA5332" w:rsidP="00BA5332">
            <w:pPr>
              <w:jc w:val="center"/>
              <w:rPr>
                <w:b/>
              </w:rPr>
            </w:pPr>
            <w:r w:rsidRPr="00314B24">
              <w:rPr>
                <w:b/>
              </w:rPr>
              <w:t>Conditions particulières d’accès à l’emploi</w:t>
            </w:r>
          </w:p>
        </w:tc>
      </w:tr>
      <w:tr w:rsidR="00B20DA3" w:rsidTr="00331B06">
        <w:tc>
          <w:tcPr>
            <w:tcW w:w="9212" w:type="dxa"/>
          </w:tcPr>
          <w:p w:rsidR="000C24F2" w:rsidRPr="00314B24" w:rsidRDefault="000C24F2" w:rsidP="000C2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14B24">
              <w:rPr>
                <w:rFonts w:ascii="Times New Roman" w:hAnsi="Times New Roman" w:cs="Times New Roman"/>
                <w:b/>
              </w:rPr>
              <w:t>Dispositions communes</w:t>
            </w:r>
            <w:r w:rsidR="00355075" w:rsidRPr="00314B24">
              <w:rPr>
                <w:rFonts w:ascii="Times New Roman" w:hAnsi="Times New Roman" w:cs="Times New Roman"/>
                <w:b/>
              </w:rPr>
              <w:t> :</w:t>
            </w:r>
          </w:p>
          <w:p w:rsidR="00E6122F" w:rsidRPr="00314B24" w:rsidRDefault="00E6122F" w:rsidP="00E6122F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14B24">
              <w:rPr>
                <w:rFonts w:ascii="Times New Roman" w:hAnsi="Times New Roman" w:cs="Times New Roman"/>
                <w:b/>
              </w:rPr>
              <w:t>Convention internationale de 1978 sur les normes de formation des gens de mer, de délivrance des brevets et de veille (Convention STCW)</w:t>
            </w:r>
          </w:p>
          <w:p w:rsidR="00E6122F" w:rsidRPr="00314B24" w:rsidRDefault="00355075" w:rsidP="00355075">
            <w:pPr>
              <w:pStyle w:val="Paragraphedeliste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14B24">
              <w:rPr>
                <w:rFonts w:ascii="Times New Roman" w:hAnsi="Times New Roman" w:cs="Times New Roman"/>
                <w:bCs/>
              </w:rPr>
              <w:t>Règle I/9 des Amendements de Manille (</w:t>
            </w:r>
            <w:r w:rsidRPr="00314B24">
              <w:rPr>
                <w:rFonts w:ascii="Times New Roman" w:hAnsi="Times New Roman" w:cs="Times New Roman"/>
                <w:i/>
                <w:iCs/>
              </w:rPr>
              <w:t>Normes médicales) </w:t>
            </w:r>
            <w:proofErr w:type="gramStart"/>
            <w:r w:rsidRPr="00314B24">
              <w:rPr>
                <w:rFonts w:ascii="Times New Roman" w:hAnsi="Times New Roman" w:cs="Times New Roman"/>
                <w:i/>
                <w:iCs/>
              </w:rPr>
              <w:t>:</w:t>
            </w:r>
            <w:r w:rsidRPr="00314B24">
              <w:rPr>
                <w:rFonts w:ascii="Times New Roman" w:hAnsi="Times New Roman" w:cs="Times New Roman"/>
              </w:rPr>
              <w:t>Les</w:t>
            </w:r>
            <w:proofErr w:type="gramEnd"/>
            <w:r w:rsidRPr="00314B24">
              <w:rPr>
                <w:rFonts w:ascii="Times New Roman" w:hAnsi="Times New Roman" w:cs="Times New Roman"/>
              </w:rPr>
              <w:t xml:space="preserve"> gens de mer doivent posséder un certificat médical valide (…). Tout candidat à un certificat doit (…) satisfaire aux normes d'aptitude médicale définies par la Partie. </w:t>
            </w:r>
          </w:p>
          <w:p w:rsidR="000C24F2" w:rsidRPr="00314B24" w:rsidRDefault="000C24F2" w:rsidP="00E6122F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314B24">
              <w:rPr>
                <w:rFonts w:ascii="Times New Roman" w:hAnsi="Times New Roman" w:cs="Times New Roman"/>
                <w:b/>
                <w:color w:val="000000"/>
              </w:rPr>
              <w:t>Convention internationale du travail maritime MLC de 2006</w:t>
            </w:r>
          </w:p>
          <w:p w:rsidR="000C24F2" w:rsidRPr="00314B24" w:rsidRDefault="00E6122F" w:rsidP="00E6122F">
            <w:pPr>
              <w:pStyle w:val="Paragraphedeliste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14B24">
              <w:rPr>
                <w:rFonts w:ascii="Times New Roman" w:hAnsi="Times New Roman" w:cs="Times New Roman"/>
                <w:color w:val="000000"/>
              </w:rPr>
              <w:t>A</w:t>
            </w:r>
            <w:r w:rsidR="000C24F2" w:rsidRPr="00314B24">
              <w:rPr>
                <w:rFonts w:ascii="Times New Roman" w:hAnsi="Times New Roman" w:cs="Times New Roman"/>
                <w:color w:val="000000"/>
              </w:rPr>
              <w:t>pplicable à tous les gens de mer (ou marins) définis à l’article II comme les personnes employées ou engagées ou travaillant à quelque titre que ce soit à bord d’un navire</w:t>
            </w:r>
            <w:r w:rsidR="00C74AA5">
              <w:rPr>
                <w:rFonts w:ascii="Times New Roman" w:hAnsi="Times New Roman" w:cs="Times New Roman"/>
                <w:color w:val="000000"/>
              </w:rPr>
              <w:t xml:space="preserve"> de commerce</w:t>
            </w:r>
          </w:p>
          <w:p w:rsidR="000C24F2" w:rsidRPr="00314B24" w:rsidRDefault="000C24F2" w:rsidP="00E6122F">
            <w:pPr>
              <w:pStyle w:val="Paragraphedeliste"/>
              <w:numPr>
                <w:ilvl w:val="1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14B24">
              <w:rPr>
                <w:rFonts w:ascii="Times New Roman" w:hAnsi="Times New Roman" w:cs="Times New Roman"/>
                <w:color w:val="000000"/>
              </w:rPr>
              <w:t>Règle 1.2 : « </w:t>
            </w:r>
            <w:r w:rsidRPr="00C74AA5">
              <w:rPr>
                <w:rFonts w:ascii="Times New Roman" w:hAnsi="Times New Roman" w:cs="Times New Roman"/>
                <w:i/>
                <w:color w:val="000000"/>
              </w:rPr>
              <w:t>aucun marin ne peut travailler à bord d’un navire s’il ne produit pas un certificat médical attestant qu’il est médicaleme</w:t>
            </w:r>
            <w:r w:rsidR="00E6122F" w:rsidRPr="00C74AA5">
              <w:rPr>
                <w:rFonts w:ascii="Times New Roman" w:hAnsi="Times New Roman" w:cs="Times New Roman"/>
                <w:i/>
                <w:color w:val="000000"/>
              </w:rPr>
              <w:t>nt apte à assurer ses fonctions</w:t>
            </w:r>
            <w:r w:rsidR="00E6122F" w:rsidRPr="00314B24">
              <w:rPr>
                <w:rFonts w:ascii="Times New Roman" w:hAnsi="Times New Roman" w:cs="Times New Roman"/>
                <w:color w:val="000000"/>
              </w:rPr>
              <w:t> » : aucun problème médical risquant d’être aggravé par le service en mer, de rendre inapte ou de mettre en danger la santé des personnes à bord</w:t>
            </w:r>
            <w:r w:rsidR="0037467D" w:rsidRPr="00314B24">
              <w:rPr>
                <w:rStyle w:val="Appelnotedebasdep"/>
                <w:rFonts w:ascii="Times New Roman" w:hAnsi="Times New Roman" w:cs="Times New Roman"/>
                <w:color w:val="000000"/>
              </w:rPr>
              <w:footnoteReference w:id="6"/>
            </w:r>
            <w:r w:rsidR="00E6122F" w:rsidRPr="00314B24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264B2" w:rsidRPr="008264B2" w:rsidRDefault="008264B2" w:rsidP="0037467D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8264B2">
              <w:rPr>
                <w:rFonts w:ascii="Times New Roman" w:hAnsi="Times New Roman" w:cs="Times New Roman"/>
                <w:b/>
              </w:rPr>
              <w:t>Convention internationale du travail N°188</w:t>
            </w:r>
            <w:r w:rsidRPr="00314B24">
              <w:rPr>
                <w:rFonts w:ascii="Times New Roman" w:hAnsi="Times New Roman" w:cs="Times New Roman"/>
              </w:rPr>
              <w:t xml:space="preserve"> sur le travail dans la pêche (articles 2</w:t>
            </w:r>
            <w:proofErr w:type="gramStart"/>
            <w:r w:rsidRPr="00314B24">
              <w:rPr>
                <w:rFonts w:ascii="Times New Roman" w:hAnsi="Times New Roman" w:cs="Times New Roman"/>
              </w:rPr>
              <w:t>,8,10,12,31,32,33</w:t>
            </w:r>
            <w:proofErr w:type="gramEnd"/>
            <w:r w:rsidRPr="00314B24">
              <w:rPr>
                <w:rFonts w:ascii="Times New Roman" w:hAnsi="Times New Roman" w:cs="Times New Roman"/>
              </w:rPr>
              <w:t>)</w:t>
            </w:r>
          </w:p>
          <w:p w:rsidR="0037467D" w:rsidRPr="00314B24" w:rsidRDefault="0037467D" w:rsidP="0037467D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14B24">
              <w:rPr>
                <w:rFonts w:ascii="Times New Roman" w:hAnsi="Times New Roman" w:cs="Times New Roman"/>
                <w:b/>
                <w:color w:val="000000"/>
              </w:rPr>
              <w:t>Directives relatives aux examens médicaux des gens de mer</w:t>
            </w:r>
            <w:r w:rsidRPr="00314B24">
              <w:rPr>
                <w:rFonts w:ascii="Times New Roman" w:hAnsi="Times New Roman" w:cs="Times New Roman"/>
                <w:color w:val="000000"/>
              </w:rPr>
              <w:t xml:space="preserve"> (BIT)</w:t>
            </w:r>
          </w:p>
          <w:p w:rsidR="00DD0093" w:rsidRPr="00314B24" w:rsidRDefault="00DD0093" w:rsidP="000E3432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14B24">
              <w:rPr>
                <w:rFonts w:ascii="Times New Roman" w:hAnsi="Times New Roman" w:cs="Times New Roman"/>
                <w:b/>
                <w:color w:val="000000"/>
              </w:rPr>
              <w:t>Annexe 1 du décret</w:t>
            </w:r>
            <w:r w:rsidRPr="00314B24">
              <w:rPr>
                <w:rFonts w:ascii="Times New Roman" w:hAnsi="Times New Roman" w:cs="Times New Roman"/>
                <w:b/>
              </w:rPr>
              <w:t xml:space="preserve"> n° 2015-1575 </w:t>
            </w:r>
            <w:r w:rsidRPr="00314B24">
              <w:rPr>
                <w:rFonts w:ascii="Times New Roman" w:hAnsi="Times New Roman" w:cs="Times New Roman"/>
                <w:b/>
                <w:color w:val="000000"/>
              </w:rPr>
              <w:t>du 3 décembre 2015</w:t>
            </w:r>
            <w:r w:rsidRPr="00314B24">
              <w:rPr>
                <w:rFonts w:ascii="Times New Roman" w:hAnsi="Times New Roman" w:cs="Times New Roman"/>
                <w:color w:val="000000"/>
              </w:rPr>
              <w:t xml:space="preserve"> relatif à l'aptitude médicale à la navigation (gens de mer)</w:t>
            </w:r>
            <w:r w:rsidRPr="00314B24">
              <w:rPr>
                <w:rFonts w:ascii="Times New Roman" w:hAnsi="Times New Roman" w:cs="Times New Roman"/>
              </w:rPr>
              <w:t xml:space="preserve"> </w:t>
            </w:r>
          </w:p>
          <w:p w:rsidR="000E3432" w:rsidRPr="00314B24" w:rsidRDefault="000E3432" w:rsidP="000E3432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14B24">
              <w:rPr>
                <w:rFonts w:ascii="Times New Roman" w:hAnsi="Times New Roman" w:cs="Times New Roman"/>
                <w:b/>
              </w:rPr>
              <w:t>Arrêté du 3 août 2017</w:t>
            </w:r>
            <w:r w:rsidRPr="00314B24">
              <w:rPr>
                <w:rFonts w:ascii="Times New Roman" w:hAnsi="Times New Roman" w:cs="Times New Roman"/>
              </w:rPr>
              <w:t xml:space="preserve"> relatif aux normes d'aptitude médicale à la navigation des gens de mer</w:t>
            </w:r>
          </w:p>
          <w:p w:rsidR="00DD0093" w:rsidRPr="00314B24" w:rsidRDefault="00DD0093" w:rsidP="00DD0093">
            <w:pPr>
              <w:pStyle w:val="Paragraphedeliste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:rsidR="000C24F2" w:rsidRPr="00314B24" w:rsidRDefault="00355075" w:rsidP="004F66EB">
            <w:pPr>
              <w:rPr>
                <w:rFonts w:ascii="Times New Roman" w:hAnsi="Times New Roman" w:cs="Times New Roman"/>
                <w:b/>
              </w:rPr>
            </w:pPr>
            <w:r w:rsidRPr="00314B24">
              <w:rPr>
                <w:rFonts w:ascii="Times New Roman" w:hAnsi="Times New Roman" w:cs="Times New Roman"/>
                <w:b/>
              </w:rPr>
              <w:t>Dispositions spécifiques 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72"/>
            </w:tblGrid>
            <w:tr w:rsidR="004F66EB" w:rsidRPr="00314B24" w:rsidTr="00331B06">
              <w:trPr>
                <w:trHeight w:val="1393"/>
              </w:trPr>
              <w:tc>
                <w:tcPr>
                  <w:tcW w:w="9072" w:type="dxa"/>
                </w:tcPr>
                <w:p w:rsidR="00160F2F" w:rsidRPr="008264B2" w:rsidRDefault="00160F2F" w:rsidP="00CC3E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314B24">
                    <w:rPr>
                      <w:rFonts w:ascii="Times New Roman" w:hAnsi="Times New Roman" w:cs="Times New Roman"/>
                      <w:b/>
                    </w:rPr>
                    <w:lastRenderedPageBreak/>
                    <w:t>389c</w:t>
                  </w:r>
                  <w:r w:rsidRPr="00314B24">
                    <w:rPr>
                      <w:b/>
                    </w:rPr>
                    <w:t> :</w:t>
                  </w:r>
                  <w:r w:rsidR="00CC3E0F" w:rsidRPr="00314B24">
                    <w:rPr>
                      <w:b/>
                    </w:rPr>
                    <w:t xml:space="preserve"> </w:t>
                  </w:r>
                  <w:r w:rsidR="004F66EB" w:rsidRPr="00314B24">
                    <w:rPr>
                      <w:rFonts w:ascii="Times New Roman" w:hAnsi="Times New Roman" w:cs="Times New Roman"/>
                      <w:color w:val="000000"/>
                    </w:rPr>
                    <w:t>Arrêté du 23 janvier 2018 relatif aux conditions d'aptitude médicale aux fonctions de pilote, de capitaine pilote et de pilot</w:t>
                  </w:r>
                  <w:r w:rsidR="008264B2">
                    <w:rPr>
                      <w:rFonts w:ascii="Times New Roman" w:hAnsi="Times New Roman" w:cs="Times New Roman"/>
                      <w:color w:val="000000"/>
                    </w:rPr>
                    <w:t>e hauturier et de patron pilote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36"/>
                  </w:tblGrid>
                  <w:tr w:rsidR="00090903" w:rsidRPr="00314B24" w:rsidTr="00331B06">
                    <w:tc>
                      <w:tcPr>
                        <w:tcW w:w="222" w:type="dxa"/>
                      </w:tcPr>
                      <w:p w:rsidR="00090903" w:rsidRPr="00314B24" w:rsidRDefault="00090903" w:rsidP="00DD009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160F2F" w:rsidRPr="00314B24" w:rsidRDefault="00160F2F" w:rsidP="00160F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B20DA3" w:rsidRPr="00314B24" w:rsidRDefault="00B20DA3" w:rsidP="004F66EB">
            <w:pPr>
              <w:rPr>
                <w:b/>
              </w:rPr>
            </w:pPr>
          </w:p>
        </w:tc>
      </w:tr>
      <w:tr w:rsidR="00B20DA3" w:rsidTr="00331B06">
        <w:tc>
          <w:tcPr>
            <w:tcW w:w="9212" w:type="dxa"/>
            <w:shd w:val="clear" w:color="auto" w:fill="92D050"/>
          </w:tcPr>
          <w:p w:rsidR="00B20DA3" w:rsidRPr="00314B24" w:rsidRDefault="00DA5FB1" w:rsidP="001F4257">
            <w:pPr>
              <w:jc w:val="center"/>
              <w:rPr>
                <w:b/>
              </w:rPr>
            </w:pPr>
            <w:r w:rsidRPr="00314B24">
              <w:rPr>
                <w:b/>
              </w:rPr>
              <w:lastRenderedPageBreak/>
              <w:t>Description de l’activité</w:t>
            </w:r>
            <w:r w:rsidR="00674B53" w:rsidRPr="00314B24">
              <w:rPr>
                <w:rStyle w:val="Appelnotedebasdep"/>
                <w:rFonts w:ascii="Times New Roman" w:hAnsi="Times New Roman" w:cs="Times New Roman"/>
              </w:rPr>
              <w:footnoteReference w:id="7"/>
            </w:r>
          </w:p>
        </w:tc>
      </w:tr>
      <w:tr w:rsidR="00B20DA3" w:rsidTr="00331B06">
        <w:tc>
          <w:tcPr>
            <w:tcW w:w="9212" w:type="dxa"/>
          </w:tcPr>
          <w:p w:rsidR="00D01951" w:rsidRPr="00314B24" w:rsidRDefault="00D01951" w:rsidP="00D0195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Le code des transports définit les gens de mer comme : « toutes personnes salariées ou non salariées</w:t>
            </w:r>
            <w:r w:rsidR="00674B53" w:rsidRPr="00314B24">
              <w:rPr>
                <w:rFonts w:ascii="Times New Roman" w:hAnsi="Times New Roman" w:cs="Times New Roman"/>
              </w:rPr>
              <w:t xml:space="preserve"> </w:t>
            </w:r>
            <w:r w:rsidRPr="00314B24">
              <w:rPr>
                <w:rFonts w:ascii="Times New Roman" w:hAnsi="Times New Roman" w:cs="Times New Roman"/>
              </w:rPr>
              <w:t>exerçant à bord d'un navire une activité professionne</w:t>
            </w:r>
            <w:r w:rsidR="00674B53" w:rsidRPr="00314B24">
              <w:rPr>
                <w:rFonts w:ascii="Times New Roman" w:hAnsi="Times New Roman" w:cs="Times New Roman"/>
              </w:rPr>
              <w:t>lle à quelque titre que ce soit</w:t>
            </w:r>
            <w:r w:rsidRPr="00314B24">
              <w:rPr>
                <w:rFonts w:ascii="Times New Roman" w:hAnsi="Times New Roman" w:cs="Times New Roman"/>
              </w:rPr>
              <w:t>».</w:t>
            </w:r>
            <w:r w:rsidR="00674B53" w:rsidRPr="00314B24">
              <w:rPr>
                <w:rFonts w:ascii="Times New Roman" w:hAnsi="Times New Roman" w:cs="Times New Roman"/>
              </w:rPr>
              <w:t xml:space="preserve"> </w:t>
            </w:r>
            <w:r w:rsidRPr="00314B24">
              <w:rPr>
                <w:rFonts w:ascii="Times New Roman" w:hAnsi="Times New Roman" w:cs="Times New Roman"/>
              </w:rPr>
              <w:t>Ainsi, les gens de mer</w:t>
            </w:r>
            <w:r w:rsidR="005D7B5C" w:rsidRPr="00314B24">
              <w:rPr>
                <w:rFonts w:ascii="Times New Roman" w:hAnsi="Times New Roman" w:cs="Times New Roman"/>
              </w:rPr>
              <w:t>,</w:t>
            </w:r>
            <w:r w:rsidRPr="00314B24">
              <w:rPr>
                <w:rFonts w:ascii="Times New Roman" w:hAnsi="Times New Roman" w:cs="Times New Roman"/>
              </w:rPr>
              <w:t xml:space="preserve"> qui peuvent être salariés ou indépendants (</w:t>
            </w:r>
            <w:r w:rsidR="003E3105" w:rsidRPr="00314B24">
              <w:rPr>
                <w:rFonts w:ascii="Times New Roman" w:hAnsi="Times New Roman" w:cs="Times New Roman"/>
              </w:rPr>
              <w:t>non-salariés</w:t>
            </w:r>
            <w:r w:rsidRPr="00314B24">
              <w:rPr>
                <w:rFonts w:ascii="Times New Roman" w:hAnsi="Times New Roman" w:cs="Times New Roman"/>
              </w:rPr>
              <w:t>)</w:t>
            </w:r>
            <w:r w:rsidR="005D7B5C" w:rsidRPr="00314B24">
              <w:rPr>
                <w:rFonts w:ascii="Times New Roman" w:hAnsi="Times New Roman" w:cs="Times New Roman"/>
              </w:rPr>
              <w:t>,</w:t>
            </w:r>
            <w:r w:rsidRPr="00314B24">
              <w:rPr>
                <w:rFonts w:ascii="Times New Roman" w:hAnsi="Times New Roman" w:cs="Times New Roman"/>
              </w:rPr>
              <w:t xml:space="preserve"> sont divisés en deux</w:t>
            </w:r>
            <w:r w:rsidR="00674B53" w:rsidRPr="00314B24">
              <w:rPr>
                <w:rFonts w:ascii="Times New Roman" w:hAnsi="Times New Roman" w:cs="Times New Roman"/>
              </w:rPr>
              <w:t> </w:t>
            </w:r>
            <w:r w:rsidRPr="00314B24">
              <w:rPr>
                <w:rFonts w:ascii="Times New Roman" w:hAnsi="Times New Roman" w:cs="Times New Roman"/>
              </w:rPr>
              <w:t xml:space="preserve">catégories que sont les </w:t>
            </w:r>
            <w:r w:rsidR="00674B53" w:rsidRPr="00314B24">
              <w:rPr>
                <w:rFonts w:ascii="Times New Roman" w:hAnsi="Times New Roman" w:cs="Times New Roman"/>
              </w:rPr>
              <w:t xml:space="preserve"> </w:t>
            </w:r>
            <w:r w:rsidRPr="00314B24">
              <w:rPr>
                <w:rFonts w:ascii="Times New Roman" w:hAnsi="Times New Roman" w:cs="Times New Roman"/>
              </w:rPr>
              <w:t xml:space="preserve">marins </w:t>
            </w:r>
            <w:r w:rsidR="00674B53" w:rsidRPr="00314B24">
              <w:rPr>
                <w:rFonts w:ascii="Times New Roman" w:hAnsi="Times New Roman" w:cs="Times New Roman"/>
              </w:rPr>
              <w:t xml:space="preserve">et </w:t>
            </w:r>
            <w:r w:rsidRPr="00314B24">
              <w:rPr>
                <w:rFonts w:ascii="Times New Roman" w:hAnsi="Times New Roman" w:cs="Times New Roman"/>
              </w:rPr>
              <w:t>les gens de mer autres que marins (GMAM).</w:t>
            </w:r>
          </w:p>
          <w:p w:rsidR="00D01951" w:rsidRDefault="00D01951" w:rsidP="008264B2">
            <w:pPr>
              <w:pStyle w:val="Paragraphedeliste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 xml:space="preserve"> </w:t>
            </w:r>
            <w:r w:rsidRPr="00314B24">
              <w:rPr>
                <w:rFonts w:ascii="Times New Roman" w:hAnsi="Times New Roman" w:cs="Times New Roman"/>
                <w:b/>
              </w:rPr>
              <w:t>Les marins</w:t>
            </w:r>
            <w:r w:rsidRPr="00314B24">
              <w:rPr>
                <w:rFonts w:ascii="Times New Roman" w:hAnsi="Times New Roman" w:cs="Times New Roman"/>
              </w:rPr>
              <w:t xml:space="preserve"> :</w:t>
            </w:r>
            <w:r w:rsidR="005D7B5C" w:rsidRPr="00314B24">
              <w:rPr>
                <w:rFonts w:ascii="Times New Roman" w:hAnsi="Times New Roman" w:cs="Times New Roman"/>
              </w:rPr>
              <w:t xml:space="preserve"> </w:t>
            </w:r>
            <w:r w:rsidRPr="00314B24">
              <w:rPr>
                <w:rFonts w:ascii="Times New Roman" w:hAnsi="Times New Roman" w:cs="Times New Roman"/>
              </w:rPr>
              <w:t>Le type d’activité professionnelle ou de fonction et le type de navire sont les critères utilisés alternativement</w:t>
            </w:r>
            <w:r w:rsidR="005D7B5C" w:rsidRPr="00314B24">
              <w:rPr>
                <w:rFonts w:ascii="Times New Roman" w:hAnsi="Times New Roman" w:cs="Times New Roman"/>
              </w:rPr>
              <w:t xml:space="preserve"> </w:t>
            </w:r>
            <w:r w:rsidRPr="00314B24">
              <w:rPr>
                <w:rFonts w:ascii="Times New Roman" w:hAnsi="Times New Roman" w:cs="Times New Roman"/>
              </w:rPr>
              <w:t>ou cumulativement pour qualifier les marins.</w:t>
            </w:r>
            <w:r w:rsidR="005D7B5C" w:rsidRPr="00314B24">
              <w:rPr>
                <w:rFonts w:ascii="Times New Roman" w:hAnsi="Times New Roman" w:cs="Times New Roman"/>
              </w:rPr>
              <w:t xml:space="preserve"> </w:t>
            </w:r>
            <w:r w:rsidRPr="00314B24">
              <w:rPr>
                <w:rFonts w:ascii="Times New Roman" w:hAnsi="Times New Roman" w:cs="Times New Roman"/>
              </w:rPr>
              <w:t>Les personnes exerçant à bord d’un navire les activités professionnelles liées à la marche, à la</w:t>
            </w:r>
            <w:r w:rsidR="005D7B5C" w:rsidRPr="00314B24">
              <w:rPr>
                <w:rFonts w:ascii="Times New Roman" w:hAnsi="Times New Roman" w:cs="Times New Roman"/>
              </w:rPr>
              <w:t xml:space="preserve"> </w:t>
            </w:r>
            <w:r w:rsidRPr="00314B24">
              <w:rPr>
                <w:rFonts w:ascii="Times New Roman" w:hAnsi="Times New Roman" w:cs="Times New Roman"/>
              </w:rPr>
              <w:t>conduite ou à l’entretien du navire ainsi que celles qui sont nécessaires pour assurer l’ensemble des</w:t>
            </w:r>
            <w:r w:rsidR="005D7B5C" w:rsidRPr="00314B24">
              <w:rPr>
                <w:rFonts w:ascii="Times New Roman" w:hAnsi="Times New Roman" w:cs="Times New Roman"/>
              </w:rPr>
              <w:t xml:space="preserve"> </w:t>
            </w:r>
            <w:r w:rsidRPr="00314B24">
              <w:rPr>
                <w:rFonts w:ascii="Times New Roman" w:hAnsi="Times New Roman" w:cs="Times New Roman"/>
              </w:rPr>
              <w:t>fonctionnalités du navire sont qualifiés de marins (art. R. 5511-1 du code des transports).</w:t>
            </w:r>
            <w:r w:rsidR="005D7B5C" w:rsidRPr="00314B24">
              <w:rPr>
                <w:rFonts w:ascii="Times New Roman" w:hAnsi="Times New Roman" w:cs="Times New Roman"/>
              </w:rPr>
              <w:t xml:space="preserve"> E</w:t>
            </w:r>
            <w:r w:rsidRPr="00314B24">
              <w:rPr>
                <w:rFonts w:ascii="Times New Roman" w:hAnsi="Times New Roman" w:cs="Times New Roman"/>
              </w:rPr>
              <w:t>mporte obligatoirement la qualification de marins les personnes exerçant</w:t>
            </w:r>
            <w:r w:rsidR="005D7B5C" w:rsidRPr="00314B24">
              <w:rPr>
                <w:rFonts w:ascii="Times New Roman" w:hAnsi="Times New Roman" w:cs="Times New Roman"/>
              </w:rPr>
              <w:t xml:space="preserve">, sur </w:t>
            </w:r>
            <w:r w:rsidRPr="00314B24">
              <w:rPr>
                <w:rFonts w:ascii="Times New Roman" w:hAnsi="Times New Roman" w:cs="Times New Roman"/>
              </w:rPr>
              <w:t xml:space="preserve">tous types de navires, les activités ou fonctions </w:t>
            </w:r>
            <w:r w:rsidR="005D7B5C" w:rsidRPr="00314B24">
              <w:rPr>
                <w:rFonts w:ascii="Times New Roman" w:hAnsi="Times New Roman" w:cs="Times New Roman"/>
              </w:rPr>
              <w:t>de</w:t>
            </w:r>
            <w:r w:rsidRPr="00314B24">
              <w:rPr>
                <w:rFonts w:ascii="Times New Roman" w:hAnsi="Times New Roman" w:cs="Times New Roman"/>
              </w:rPr>
              <w:t xml:space="preserve"> (1° art. R. 5511-2 du code des</w:t>
            </w:r>
            <w:r w:rsidR="005D7B5C" w:rsidRPr="00314B24">
              <w:rPr>
                <w:rFonts w:ascii="Times New Roman" w:hAnsi="Times New Roman" w:cs="Times New Roman"/>
              </w:rPr>
              <w:t xml:space="preserve"> </w:t>
            </w:r>
            <w:r w:rsidRPr="00314B24">
              <w:rPr>
                <w:rFonts w:ascii="Times New Roman" w:hAnsi="Times New Roman" w:cs="Times New Roman"/>
              </w:rPr>
              <w:t xml:space="preserve">transports) </w:t>
            </w:r>
            <w:r w:rsidR="005D7B5C" w:rsidRPr="00314B24">
              <w:rPr>
                <w:rFonts w:ascii="Times New Roman" w:hAnsi="Times New Roman" w:cs="Times New Roman"/>
              </w:rPr>
              <w:t>p</w:t>
            </w:r>
            <w:r w:rsidRPr="00314B24">
              <w:rPr>
                <w:rFonts w:ascii="Times New Roman" w:hAnsi="Times New Roman" w:cs="Times New Roman"/>
              </w:rPr>
              <w:t>réparation ou service des repas pour les gens de mer</w:t>
            </w:r>
            <w:r w:rsidR="005D7B5C" w:rsidRPr="00314B24">
              <w:rPr>
                <w:rFonts w:ascii="Times New Roman" w:hAnsi="Times New Roman" w:cs="Times New Roman"/>
              </w:rPr>
              <w:t>, p</w:t>
            </w:r>
            <w:r w:rsidRPr="00314B24">
              <w:rPr>
                <w:rFonts w:ascii="Times New Roman" w:hAnsi="Times New Roman" w:cs="Times New Roman"/>
              </w:rPr>
              <w:t>ilotage maritime</w:t>
            </w:r>
            <w:r w:rsidR="005D7B5C" w:rsidRPr="00314B24">
              <w:rPr>
                <w:rFonts w:ascii="Times New Roman" w:hAnsi="Times New Roman" w:cs="Times New Roman"/>
              </w:rPr>
              <w:t>, l</w:t>
            </w:r>
            <w:r w:rsidRPr="00314B24">
              <w:rPr>
                <w:rFonts w:ascii="Times New Roman" w:hAnsi="Times New Roman" w:cs="Times New Roman"/>
              </w:rPr>
              <w:t>amanage</w:t>
            </w:r>
            <w:r w:rsidR="005D7B5C" w:rsidRPr="00314B24">
              <w:rPr>
                <w:rFonts w:ascii="Times New Roman" w:hAnsi="Times New Roman" w:cs="Times New Roman"/>
              </w:rPr>
              <w:t>, m</w:t>
            </w:r>
            <w:r w:rsidRPr="00314B24">
              <w:rPr>
                <w:rFonts w:ascii="Times New Roman" w:hAnsi="Times New Roman" w:cs="Times New Roman"/>
              </w:rPr>
              <w:t>édecin ou infirmier, lorsque l’embarquement est exigé par la réglementation maritime</w:t>
            </w:r>
            <w:r w:rsidR="005D7B5C" w:rsidRPr="00314B24">
              <w:rPr>
                <w:rFonts w:ascii="Times New Roman" w:hAnsi="Times New Roman" w:cs="Times New Roman"/>
              </w:rPr>
              <w:t xml:space="preserve">. </w:t>
            </w:r>
            <w:r w:rsidRPr="00314B24">
              <w:rPr>
                <w:rFonts w:ascii="Times New Roman" w:hAnsi="Times New Roman" w:cs="Times New Roman"/>
              </w:rPr>
              <w:t>À bord des navires à passagers et des navires de plaisance à utilisation commerciale,</w:t>
            </w:r>
            <w:r w:rsidR="008C19AB" w:rsidRPr="00314B24">
              <w:rPr>
                <w:rFonts w:ascii="Times New Roman" w:hAnsi="Times New Roman" w:cs="Times New Roman"/>
              </w:rPr>
              <w:t xml:space="preserve"> cela concerne </w:t>
            </w:r>
            <w:r w:rsidRPr="00314B24">
              <w:rPr>
                <w:rFonts w:ascii="Times New Roman" w:hAnsi="Times New Roman" w:cs="Times New Roman"/>
              </w:rPr>
              <w:t>les</w:t>
            </w:r>
            <w:r w:rsidR="008C19AB" w:rsidRPr="00314B24">
              <w:rPr>
                <w:rFonts w:ascii="Times New Roman" w:hAnsi="Times New Roman" w:cs="Times New Roman"/>
              </w:rPr>
              <w:t xml:space="preserve"> </w:t>
            </w:r>
            <w:r w:rsidRPr="00314B24">
              <w:rPr>
                <w:rFonts w:ascii="Times New Roman" w:hAnsi="Times New Roman" w:cs="Times New Roman"/>
              </w:rPr>
              <w:t xml:space="preserve">activités </w:t>
            </w:r>
            <w:r w:rsidR="008C19AB" w:rsidRPr="00314B24">
              <w:rPr>
                <w:rFonts w:ascii="Times New Roman" w:hAnsi="Times New Roman" w:cs="Times New Roman"/>
              </w:rPr>
              <w:t>de p</w:t>
            </w:r>
            <w:r w:rsidRPr="00314B24">
              <w:rPr>
                <w:rFonts w:ascii="Times New Roman" w:hAnsi="Times New Roman" w:cs="Times New Roman"/>
              </w:rPr>
              <w:t>ropreté</w:t>
            </w:r>
            <w:r w:rsidR="008C19AB" w:rsidRPr="00314B24">
              <w:rPr>
                <w:rFonts w:ascii="Times New Roman" w:hAnsi="Times New Roman" w:cs="Times New Roman"/>
              </w:rPr>
              <w:t>, h</w:t>
            </w:r>
            <w:r w:rsidRPr="00314B24">
              <w:rPr>
                <w:rFonts w:ascii="Times New Roman" w:hAnsi="Times New Roman" w:cs="Times New Roman"/>
              </w:rPr>
              <w:t>ôtellerie, restauration</w:t>
            </w:r>
            <w:r w:rsidR="008C19AB" w:rsidRPr="00314B24">
              <w:rPr>
                <w:rFonts w:ascii="Times New Roman" w:hAnsi="Times New Roman" w:cs="Times New Roman"/>
              </w:rPr>
              <w:t>, v</w:t>
            </w:r>
            <w:r w:rsidRPr="00314B24">
              <w:rPr>
                <w:rFonts w:ascii="Times New Roman" w:hAnsi="Times New Roman" w:cs="Times New Roman"/>
              </w:rPr>
              <w:t>ente</w:t>
            </w:r>
            <w:r w:rsidR="008C19AB" w:rsidRPr="00314B24">
              <w:rPr>
                <w:rFonts w:ascii="Times New Roman" w:hAnsi="Times New Roman" w:cs="Times New Roman"/>
              </w:rPr>
              <w:t>, a</w:t>
            </w:r>
            <w:r w:rsidRPr="00314B24">
              <w:rPr>
                <w:rFonts w:ascii="Times New Roman" w:hAnsi="Times New Roman" w:cs="Times New Roman"/>
              </w:rPr>
              <w:t>ccueil des passagers</w:t>
            </w:r>
            <w:r w:rsidR="008C19AB" w:rsidRPr="00314B24">
              <w:rPr>
                <w:rFonts w:ascii="Times New Roman" w:hAnsi="Times New Roman" w:cs="Times New Roman"/>
              </w:rPr>
              <w:t>, é</w:t>
            </w:r>
            <w:r w:rsidRPr="00314B24">
              <w:rPr>
                <w:rFonts w:ascii="Times New Roman" w:hAnsi="Times New Roman" w:cs="Times New Roman"/>
              </w:rPr>
              <w:t>crivain de bord.</w:t>
            </w:r>
            <w:r w:rsidR="008C19AB" w:rsidRPr="00314B24">
              <w:rPr>
                <w:rFonts w:ascii="Times New Roman" w:hAnsi="Times New Roman" w:cs="Times New Roman"/>
              </w:rPr>
              <w:t xml:space="preserve"> </w:t>
            </w:r>
          </w:p>
          <w:p w:rsidR="008264B2" w:rsidRPr="00314B24" w:rsidRDefault="008264B2" w:rsidP="008264B2">
            <w:pPr>
              <w:pStyle w:val="Paragraphedeliste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  <w:p w:rsidR="00B20DA3" w:rsidRPr="00314B24" w:rsidRDefault="00D01951" w:rsidP="008264B2">
            <w:pPr>
              <w:pStyle w:val="Paragraphedeliste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  <w:b/>
              </w:rPr>
              <w:t>Les gens de mer autres que marins</w:t>
            </w:r>
            <w:r w:rsidRPr="00314B24">
              <w:rPr>
                <w:rFonts w:ascii="Times New Roman" w:hAnsi="Times New Roman" w:cs="Times New Roman"/>
              </w:rPr>
              <w:t xml:space="preserve"> :</w:t>
            </w:r>
            <w:r w:rsidR="008C19AB" w:rsidRPr="00314B24">
              <w:rPr>
                <w:rFonts w:ascii="Times New Roman" w:hAnsi="Times New Roman" w:cs="Times New Roman"/>
              </w:rPr>
              <w:t xml:space="preserve"> Les </w:t>
            </w:r>
            <w:r w:rsidRPr="00314B24">
              <w:rPr>
                <w:rFonts w:ascii="Times New Roman" w:hAnsi="Times New Roman" w:cs="Times New Roman"/>
              </w:rPr>
              <w:t xml:space="preserve">GMAM </w:t>
            </w:r>
            <w:r w:rsidR="008C19AB" w:rsidRPr="00314B24">
              <w:rPr>
                <w:rFonts w:ascii="Times New Roman" w:hAnsi="Times New Roman" w:cs="Times New Roman"/>
              </w:rPr>
              <w:t xml:space="preserve">sont </w:t>
            </w:r>
            <w:r w:rsidRPr="00314B24">
              <w:rPr>
                <w:rFonts w:ascii="Times New Roman" w:hAnsi="Times New Roman" w:cs="Times New Roman"/>
              </w:rPr>
              <w:t>une catégorie ouverte. Elle permet l’accueil de nouvelles</w:t>
            </w:r>
            <w:r w:rsidR="008C19AB" w:rsidRPr="00314B24">
              <w:rPr>
                <w:rFonts w:ascii="Times New Roman" w:hAnsi="Times New Roman" w:cs="Times New Roman"/>
              </w:rPr>
              <w:t xml:space="preserve"> </w:t>
            </w:r>
            <w:r w:rsidRPr="00314B24">
              <w:rPr>
                <w:rFonts w:ascii="Times New Roman" w:hAnsi="Times New Roman" w:cs="Times New Roman"/>
              </w:rPr>
              <w:t>activités professionnelles dès lors qu’elles ne relèvent pas de celles exercées par les marins ou exclues pour</w:t>
            </w:r>
            <w:r w:rsidR="008C19AB" w:rsidRPr="00314B24">
              <w:rPr>
                <w:rFonts w:ascii="Times New Roman" w:hAnsi="Times New Roman" w:cs="Times New Roman"/>
              </w:rPr>
              <w:t xml:space="preserve"> </w:t>
            </w:r>
            <w:r w:rsidRPr="00314B24">
              <w:rPr>
                <w:rFonts w:ascii="Times New Roman" w:hAnsi="Times New Roman" w:cs="Times New Roman"/>
              </w:rPr>
              <w:t>les gens de mer.</w:t>
            </w:r>
            <w:r w:rsidR="002F0451" w:rsidRPr="00314B24">
              <w:rPr>
                <w:rFonts w:ascii="Times New Roman" w:hAnsi="Times New Roman" w:cs="Times New Roman"/>
              </w:rPr>
              <w:t xml:space="preserve"> En font par exemple partie : l</w:t>
            </w:r>
            <w:r w:rsidRPr="00314B24">
              <w:rPr>
                <w:rFonts w:ascii="Times New Roman" w:hAnsi="Times New Roman" w:cs="Times New Roman"/>
              </w:rPr>
              <w:t>es agents employés par les entreprises privées de protection des navires et titulaires d'une carte</w:t>
            </w:r>
            <w:r w:rsidR="002F0451" w:rsidRPr="00314B24">
              <w:rPr>
                <w:rFonts w:ascii="Times New Roman" w:hAnsi="Times New Roman" w:cs="Times New Roman"/>
              </w:rPr>
              <w:t xml:space="preserve"> </w:t>
            </w:r>
            <w:r w:rsidRPr="00314B24">
              <w:rPr>
                <w:rFonts w:ascii="Times New Roman" w:hAnsi="Times New Roman" w:cs="Times New Roman"/>
              </w:rPr>
              <w:t>professionnelle délivrée par le Conseil</w:t>
            </w:r>
            <w:r w:rsidR="002F0451" w:rsidRPr="00314B24">
              <w:rPr>
                <w:rFonts w:ascii="Times New Roman" w:hAnsi="Times New Roman" w:cs="Times New Roman"/>
              </w:rPr>
              <w:t xml:space="preserve"> national des activités privées.</w:t>
            </w:r>
          </w:p>
        </w:tc>
      </w:tr>
      <w:tr w:rsidR="00B20DA3" w:rsidTr="00331B06">
        <w:tc>
          <w:tcPr>
            <w:tcW w:w="9212" w:type="dxa"/>
            <w:shd w:val="clear" w:color="auto" w:fill="92D050"/>
          </w:tcPr>
          <w:p w:rsidR="00B20DA3" w:rsidRDefault="00BA5332" w:rsidP="00FA61BD">
            <w:pPr>
              <w:jc w:val="center"/>
              <w:rPr>
                <w:b/>
              </w:rPr>
            </w:pPr>
            <w:r>
              <w:rPr>
                <w:b/>
              </w:rPr>
              <w:t xml:space="preserve">Caractéristiques et exigences </w:t>
            </w:r>
            <w:r w:rsidR="00FA61BD">
              <w:rPr>
                <w:b/>
              </w:rPr>
              <w:t xml:space="preserve">particulières </w:t>
            </w:r>
            <w:r>
              <w:rPr>
                <w:b/>
              </w:rPr>
              <w:t xml:space="preserve">de l’activité </w:t>
            </w:r>
          </w:p>
        </w:tc>
      </w:tr>
      <w:tr w:rsidR="00B20DA3" w:rsidTr="00331B06">
        <w:tc>
          <w:tcPr>
            <w:tcW w:w="9212" w:type="dxa"/>
          </w:tcPr>
          <w:p w:rsidR="00BA5332" w:rsidRPr="00314B24" w:rsidRDefault="00DC2F0A" w:rsidP="000E3432">
            <w:pPr>
              <w:pStyle w:val="Paragraphedeliste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L’activité conduit à ê</w:t>
            </w:r>
            <w:r w:rsidR="000E3432" w:rsidRPr="00314B24">
              <w:rPr>
                <w:rFonts w:ascii="Times New Roman" w:eastAsia="Times New Roman" w:hAnsi="Times New Roman" w:cs="Times New Roman"/>
                <w:lang w:eastAsia="fr-FR"/>
              </w:rPr>
              <w:t xml:space="preserve">tre hors de portée de tout secours médical </w:t>
            </w:r>
            <w:r w:rsidR="00122EA6" w:rsidRPr="00314B24">
              <w:rPr>
                <w:rFonts w:ascii="Times New Roman" w:eastAsia="Times New Roman" w:hAnsi="Times New Roman" w:cs="Times New Roman"/>
                <w:lang w:eastAsia="fr-FR"/>
              </w:rPr>
              <w:t>approprié</w:t>
            </w:r>
          </w:p>
          <w:p w:rsidR="00621D18" w:rsidRPr="00314B24" w:rsidRDefault="00DC2F0A" w:rsidP="000E3432">
            <w:pPr>
              <w:pStyle w:val="Paragraphedeliste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Elle nécessite de p</w:t>
            </w:r>
            <w:r w:rsidR="00621D18" w:rsidRPr="00314B24">
              <w:rPr>
                <w:rFonts w:ascii="Times New Roman" w:eastAsia="Times New Roman" w:hAnsi="Times New Roman" w:cs="Times New Roman"/>
                <w:lang w:eastAsia="fr-FR"/>
              </w:rPr>
              <w:t>ouvoir effectuer les fonctions nécessaires en cas d’urgence</w:t>
            </w:r>
            <w:r w:rsidR="00EE2D64">
              <w:rPr>
                <w:rFonts w:ascii="Times New Roman" w:eastAsia="Times New Roman" w:hAnsi="Times New Roman" w:cs="Times New Roman"/>
                <w:lang w:eastAsia="fr-FR"/>
              </w:rPr>
              <w:t xml:space="preserve"> (sécurité des navires et des personnes)</w:t>
            </w:r>
          </w:p>
          <w:p w:rsidR="00D02365" w:rsidRDefault="007C2413" w:rsidP="000E3432">
            <w:pPr>
              <w:pStyle w:val="Paragraphedeliste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 w:rsidRPr="00314B24">
              <w:rPr>
                <w:rFonts w:ascii="Times New Roman" w:eastAsia="Times New Roman" w:hAnsi="Times New Roman" w:cs="Times New Roman"/>
                <w:lang w:eastAsia="fr-FR"/>
              </w:rPr>
              <w:t>T</w:t>
            </w:r>
            <w:r w:rsidR="00D02365" w:rsidRPr="00314B24">
              <w:rPr>
                <w:rFonts w:ascii="Times New Roman" w:eastAsia="Times New Roman" w:hAnsi="Times New Roman" w:cs="Times New Roman"/>
                <w:lang w:eastAsia="fr-FR"/>
              </w:rPr>
              <w:t>ransmissions orales d’ordres ou d’informations aux autres membres de l’équipage ou aux passagers</w:t>
            </w:r>
          </w:p>
          <w:p w:rsidR="00EE2D64" w:rsidRPr="00314B24" w:rsidRDefault="00EE2D64" w:rsidP="000E3432">
            <w:pPr>
              <w:pStyle w:val="Paragraphedeliste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t>Voir la signalisation maritime</w:t>
            </w:r>
          </w:p>
        </w:tc>
      </w:tr>
      <w:tr w:rsidR="00BA5332" w:rsidTr="00331B06">
        <w:tc>
          <w:tcPr>
            <w:tcW w:w="9212" w:type="dxa"/>
            <w:shd w:val="clear" w:color="auto" w:fill="92D050"/>
          </w:tcPr>
          <w:p w:rsidR="00BA5332" w:rsidRPr="00314B24" w:rsidRDefault="00BA5332" w:rsidP="00FA61BD">
            <w:pPr>
              <w:jc w:val="center"/>
              <w:rPr>
                <w:b/>
              </w:rPr>
            </w:pPr>
            <w:r w:rsidRPr="00314B24">
              <w:rPr>
                <w:b/>
              </w:rPr>
              <w:t xml:space="preserve">Aptitudes </w:t>
            </w:r>
            <w:r w:rsidR="001A064A">
              <w:rPr>
                <w:b/>
              </w:rPr>
              <w:t xml:space="preserve">et </w:t>
            </w:r>
            <w:r w:rsidR="004D190E" w:rsidRPr="004D190E">
              <w:rPr>
                <w:b/>
              </w:rPr>
              <w:t xml:space="preserve">contre-indications </w:t>
            </w:r>
            <w:bookmarkStart w:id="0" w:name="_GoBack"/>
            <w:bookmarkEnd w:id="0"/>
            <w:r w:rsidR="001A064A">
              <w:rPr>
                <w:b/>
              </w:rPr>
              <w:t xml:space="preserve">médicales </w:t>
            </w:r>
          </w:p>
        </w:tc>
      </w:tr>
      <w:tr w:rsidR="000D423F" w:rsidTr="00331B06">
        <w:tc>
          <w:tcPr>
            <w:tcW w:w="9212" w:type="dxa"/>
            <w:shd w:val="clear" w:color="auto" w:fill="auto"/>
          </w:tcPr>
          <w:p w:rsidR="000D423F" w:rsidRPr="00314B24" w:rsidRDefault="00051E24" w:rsidP="00E427A7">
            <w:pPr>
              <w:pStyle w:val="Paragraphedeliste"/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Voir textes supra</w:t>
            </w:r>
          </w:p>
        </w:tc>
      </w:tr>
      <w:tr w:rsidR="000D423F" w:rsidTr="00331B06">
        <w:tc>
          <w:tcPr>
            <w:tcW w:w="9212" w:type="dxa"/>
            <w:shd w:val="clear" w:color="auto" w:fill="92D050"/>
          </w:tcPr>
          <w:p w:rsidR="000D423F" w:rsidRPr="00314B24" w:rsidRDefault="00AD3354" w:rsidP="001A064A">
            <w:pPr>
              <w:tabs>
                <w:tab w:val="left" w:pos="3100"/>
              </w:tabs>
              <w:jc w:val="center"/>
              <w:rPr>
                <w:b/>
              </w:rPr>
            </w:pPr>
            <w:r>
              <w:rPr>
                <w:b/>
              </w:rPr>
              <w:t>Principaux r</w:t>
            </w:r>
            <w:r w:rsidR="00123D60" w:rsidRPr="00314B24">
              <w:rPr>
                <w:b/>
              </w:rPr>
              <w:t>isques professionnels</w:t>
            </w:r>
            <w:r w:rsidR="00C11F34" w:rsidRPr="00314B24">
              <w:rPr>
                <w:b/>
              </w:rPr>
              <w:t xml:space="preserve"> (contraintes, nuisances)</w:t>
            </w:r>
            <w:r w:rsidR="008264B2" w:rsidRPr="00314B24">
              <w:rPr>
                <w:rStyle w:val="Appelnotedebasdep"/>
                <w:rFonts w:ascii="Times New Roman" w:hAnsi="Times New Roman" w:cs="Times New Roman"/>
                <w:b/>
              </w:rPr>
              <w:t xml:space="preserve"> </w:t>
            </w:r>
            <w:r w:rsidR="008264B2" w:rsidRPr="00314B24">
              <w:rPr>
                <w:rStyle w:val="Appelnotedebasdep"/>
                <w:rFonts w:ascii="Times New Roman" w:hAnsi="Times New Roman" w:cs="Times New Roman"/>
                <w:b/>
              </w:rPr>
              <w:footnoteReference w:id="8"/>
            </w:r>
            <w:r w:rsidR="008264B2" w:rsidRPr="00314B24">
              <w:rPr>
                <w:rFonts w:ascii="Times New Roman" w:hAnsi="Times New Roman" w:cs="Times New Roman"/>
              </w:rPr>
              <w:t> </w:t>
            </w:r>
          </w:p>
        </w:tc>
      </w:tr>
      <w:tr w:rsidR="00BA5332" w:rsidTr="00331B06">
        <w:tc>
          <w:tcPr>
            <w:tcW w:w="9212" w:type="dxa"/>
          </w:tcPr>
          <w:p w:rsidR="00C11F34" w:rsidRPr="00314B24" w:rsidRDefault="00C11F34" w:rsidP="008264B2">
            <w:pPr>
              <w:pStyle w:val="Paragraphedelist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Eloignement de la terre/ séjour en mer prolongé</w:t>
            </w:r>
            <w:r w:rsidR="008264B2">
              <w:rPr>
                <w:rFonts w:ascii="Times New Roman" w:hAnsi="Times New Roman" w:cs="Times New Roman"/>
              </w:rPr>
              <w:t xml:space="preserve"> (pour les activités en haute mer)</w:t>
            </w:r>
          </w:p>
          <w:p w:rsidR="00BA5332" w:rsidRPr="00314B24" w:rsidRDefault="00C11F34" w:rsidP="008264B2">
            <w:pPr>
              <w:pStyle w:val="Paragraphedelist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Intempéries/ ambiance thermique</w:t>
            </w:r>
          </w:p>
          <w:p w:rsidR="00C11F34" w:rsidRPr="00314B24" w:rsidRDefault="00C11F34" w:rsidP="008264B2">
            <w:pPr>
              <w:pStyle w:val="Paragraphedelist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Sol glissant, encombré, en mouvement</w:t>
            </w:r>
          </w:p>
          <w:p w:rsidR="00C11F34" w:rsidRPr="00314B24" w:rsidRDefault="00C11F34" w:rsidP="008264B2">
            <w:pPr>
              <w:pStyle w:val="Paragraphedelist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Naufrage</w:t>
            </w:r>
          </w:p>
          <w:p w:rsidR="00C11F34" w:rsidRPr="00314B24" w:rsidRDefault="00C11F34" w:rsidP="008264B2">
            <w:pPr>
              <w:pStyle w:val="Paragraphedelist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Exiguïté des lieux</w:t>
            </w:r>
          </w:p>
          <w:p w:rsidR="004476C3" w:rsidRPr="00314B24" w:rsidRDefault="004476C3" w:rsidP="008264B2">
            <w:pPr>
              <w:pStyle w:val="Paragraphedelist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Horaires/ travail posté</w:t>
            </w:r>
          </w:p>
          <w:p w:rsidR="004476C3" w:rsidRPr="00314B24" w:rsidRDefault="004476C3" w:rsidP="008264B2">
            <w:pPr>
              <w:pStyle w:val="Paragraphedelist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Isolement social et familial</w:t>
            </w:r>
          </w:p>
          <w:p w:rsidR="008264B2" w:rsidRDefault="00CC5C34" w:rsidP="008264B2">
            <w:pPr>
              <w:pStyle w:val="Paragraphedelist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314B24">
              <w:rPr>
                <w:rFonts w:ascii="Times New Roman" w:hAnsi="Times New Roman" w:cs="Times New Roman"/>
              </w:rPr>
              <w:t>Postures contraignantes</w:t>
            </w:r>
          </w:p>
          <w:p w:rsidR="008264B2" w:rsidRDefault="008264B2" w:rsidP="008762BF">
            <w:pPr>
              <w:pStyle w:val="Paragraphedeliste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Voir aussi </w:t>
            </w:r>
            <w:r w:rsidR="008762BF">
              <w:rPr>
                <w:rFonts w:ascii="Times New Roman" w:hAnsi="Times New Roman" w:cs="Times New Roman"/>
              </w:rPr>
              <w:t xml:space="preserve">de M. Thierry Sauvage, chef du service santé des gens de mer à la Direction des </w:t>
            </w:r>
            <w:r w:rsidR="008762BF">
              <w:rPr>
                <w:rFonts w:ascii="Times New Roman" w:hAnsi="Times New Roman" w:cs="Times New Roman"/>
              </w:rPr>
              <w:lastRenderedPageBreak/>
              <w:t>affaires maritimes (in T</w:t>
            </w:r>
            <w:r w:rsidR="008762BF" w:rsidRPr="008762BF">
              <w:rPr>
                <w:rFonts w:ascii="Times New Roman" w:hAnsi="Times New Roman" w:cs="Times New Roman"/>
              </w:rPr>
              <w:t>ravail et sécurité n°756, décembre 2014, Pages 10-12</w:t>
            </w:r>
            <w:r w:rsidR="008762BF">
              <w:rPr>
                <w:rFonts w:ascii="Times New Roman" w:hAnsi="Times New Roman" w:cs="Times New Roman"/>
              </w:rPr>
              <w:t>) (</w:t>
            </w:r>
            <w:hyperlink r:id="rId9" w:history="1">
              <w:r w:rsidR="008762BF" w:rsidRPr="00400E4B">
                <w:rPr>
                  <w:rStyle w:val="Lienhypertexte"/>
                  <w:rFonts w:ascii="Times New Roman" w:hAnsi="Times New Roman" w:cs="Times New Roman"/>
                </w:rPr>
                <w:t>http://www.google.fr/url?sa=t&amp;rct=j&amp;q=&amp;esrc=s&amp;source=web&amp;cd=1&amp;ved=2ahUKEwji_MCOyJ3hAhWuzIUKHQzKBJsQFjAAegQIBBAC&amp;url=http%3A%2F%2Fwww.travail-et-securite.fr%2Fdms%2Fts%2FArticleTS%2FTI-TS756page12-14&amp;usg=AOvVaw10UYxDAUE_jq6nTVFvTN8_</w:t>
              </w:r>
            </w:hyperlink>
          </w:p>
          <w:p w:rsidR="00D22A24" w:rsidRPr="00D22A24" w:rsidRDefault="00D22A24" w:rsidP="00D22A24">
            <w:pPr>
              <w:ind w:left="360"/>
              <w:rPr>
                <w:rFonts w:ascii="Times New Roman" w:hAnsi="Times New Roman" w:cs="Times New Roman"/>
              </w:rPr>
            </w:pPr>
          </w:p>
          <w:p w:rsidR="008762BF" w:rsidRPr="008264B2" w:rsidRDefault="008762BF" w:rsidP="008762BF">
            <w:pPr>
              <w:pStyle w:val="Paragraphedeliste"/>
              <w:rPr>
                <w:rFonts w:ascii="Times New Roman" w:hAnsi="Times New Roman" w:cs="Times New Roman"/>
              </w:rPr>
            </w:pPr>
          </w:p>
        </w:tc>
      </w:tr>
      <w:tr w:rsidR="00E539B8" w:rsidTr="00331B06">
        <w:tc>
          <w:tcPr>
            <w:tcW w:w="9212" w:type="dxa"/>
            <w:shd w:val="clear" w:color="auto" w:fill="92D050"/>
          </w:tcPr>
          <w:p w:rsidR="00E539B8" w:rsidRDefault="00E539B8" w:rsidP="00E539B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Prévention</w:t>
            </w:r>
            <w:r w:rsidR="00BF584A">
              <w:rPr>
                <w:b/>
              </w:rPr>
              <w:t xml:space="preserve"> (recommandations, guides…)</w:t>
            </w:r>
            <w:r w:rsidR="001A064A">
              <w:rPr>
                <w:rStyle w:val="Appelnotedebasdep"/>
                <w:b/>
              </w:rPr>
              <w:footnoteReference w:id="9"/>
            </w:r>
          </w:p>
        </w:tc>
      </w:tr>
      <w:tr w:rsidR="00BF584A" w:rsidTr="00331B06">
        <w:tc>
          <w:tcPr>
            <w:tcW w:w="9212" w:type="dxa"/>
            <w:shd w:val="clear" w:color="auto" w:fill="auto"/>
          </w:tcPr>
          <w:p w:rsidR="00BF584A" w:rsidRDefault="00BF584A" w:rsidP="00BF584A">
            <w:pPr>
              <w:jc w:val="center"/>
              <w:rPr>
                <w:b/>
              </w:rPr>
            </w:pPr>
          </w:p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620"/>
              <w:gridCol w:w="4565"/>
            </w:tblGrid>
            <w:tr w:rsidR="00A915A1" w:rsidRPr="007C3050" w:rsidTr="00602258">
              <w:trPr>
                <w:trHeight w:val="930"/>
              </w:trPr>
              <w:tc>
                <w:tcPr>
                  <w:tcW w:w="1681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Addictions et transport : quand et comment réaliser des tests et quelle prévention mettre en place ? QR 70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2012</w:t>
                  </w:r>
                </w:p>
              </w:tc>
              <w:tc>
                <w:tcPr>
                  <w:tcW w:w="2019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000000" w:fill="E2EFDA"/>
                  <w:vAlign w:val="center"/>
                  <w:hideMark/>
                </w:tcPr>
                <w:p w:rsidR="00A915A1" w:rsidRPr="007C3050" w:rsidRDefault="00AB736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0" w:history="1">
                    <w:r w:rsidR="00A915A1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http://www.rst-sante-travail.fr/rst/pages-article/ArticleRST.html?ref=RST.QR%2070</w:t>
                    </w:r>
                  </w:hyperlink>
                </w:p>
              </w:tc>
            </w:tr>
            <w:tr w:rsidR="00A915A1" w:rsidRPr="007C3050" w:rsidTr="00602258">
              <w:trPr>
                <w:trHeight w:val="930"/>
              </w:trPr>
              <w:tc>
                <w:tcPr>
                  <w:tcW w:w="1681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Addictions et transport : quand et comment réaliser des tests et quelle prévention mettre en place ? QR 70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2012</w:t>
                  </w:r>
                </w:p>
              </w:tc>
              <w:tc>
                <w:tcPr>
                  <w:tcW w:w="2019" w:type="pct"/>
                  <w:tcBorders>
                    <w:top w:val="nil"/>
                    <w:left w:val="nil"/>
                    <w:bottom w:val="single" w:sz="8" w:space="0" w:color="999999"/>
                    <w:right w:val="single" w:sz="8" w:space="0" w:color="999999"/>
                  </w:tcBorders>
                  <w:shd w:val="clear" w:color="auto" w:fill="auto"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  <w:t>http://www.rst-sante-travail.fr/rst/pages-article/ArticleRST.html?ref=RST.QR%2070</w:t>
                  </w:r>
                </w:p>
              </w:tc>
            </w:tr>
          </w:tbl>
          <w:p w:rsidR="00331B06" w:rsidRDefault="00331B06" w:rsidP="00331B06">
            <w:pPr>
              <w:rPr>
                <w:b/>
              </w:rPr>
            </w:pPr>
          </w:p>
          <w:tbl>
            <w:tblPr>
              <w:tblW w:w="1123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"/>
              <w:gridCol w:w="3756"/>
              <w:gridCol w:w="47"/>
              <w:gridCol w:w="620"/>
              <w:gridCol w:w="40"/>
              <w:gridCol w:w="4527"/>
              <w:gridCol w:w="2176"/>
            </w:tblGrid>
            <w:tr w:rsidR="00A915A1" w:rsidRPr="007C3050" w:rsidTr="00A915A1">
              <w:trPr>
                <w:gridBefore w:val="1"/>
                <w:gridAfter w:val="1"/>
                <w:wBefore w:w="32" w:type="pct"/>
                <w:wAfter w:w="968" w:type="pct"/>
                <w:trHeight w:val="300"/>
              </w:trPr>
              <w:tc>
                <w:tcPr>
                  <w:tcW w:w="169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Prévenir les risques chimiques pendant le transport et le déchargement des conteneurs d'expédition</w:t>
                  </w:r>
                </w:p>
              </w:tc>
              <w:tc>
                <w:tcPr>
                  <w:tcW w:w="276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2018</w:t>
                  </w:r>
                </w:p>
              </w:tc>
              <w:tc>
                <w:tcPr>
                  <w:tcW w:w="203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B736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1" w:history="1">
                    <w:r w:rsidR="00A915A1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http://www.inrs.fr/inrs/recherche/etudes-publications-communications/doc/communication.html?refINRS=EL2017-010%2FC2018-080</w:t>
                    </w:r>
                  </w:hyperlink>
                </w:p>
              </w:tc>
            </w:tr>
            <w:tr w:rsidR="00A915A1" w:rsidRPr="007C3050" w:rsidTr="00A915A1">
              <w:trPr>
                <w:gridBefore w:val="1"/>
                <w:gridAfter w:val="1"/>
                <w:wBefore w:w="32" w:type="pct"/>
                <w:wAfter w:w="968" w:type="pct"/>
                <w:trHeight w:val="300"/>
              </w:trPr>
              <w:tc>
                <w:tcPr>
                  <w:tcW w:w="169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18e Journées de médecine maritime 2016. </w:t>
                  </w:r>
                </w:p>
              </w:tc>
              <w:tc>
                <w:tcPr>
                  <w:tcW w:w="276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2017</w:t>
                  </w:r>
                </w:p>
              </w:tc>
              <w:tc>
                <w:tcPr>
                  <w:tcW w:w="203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B736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2" w:history="1">
                    <w:r w:rsidR="00A915A1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http://www.inrs.fr/media.html?refINRS=TD%20237</w:t>
                    </w:r>
                  </w:hyperlink>
                </w:p>
              </w:tc>
            </w:tr>
            <w:tr w:rsidR="00A915A1" w:rsidRPr="007C3050" w:rsidTr="00A915A1">
              <w:trPr>
                <w:gridBefore w:val="1"/>
                <w:gridAfter w:val="1"/>
                <w:wBefore w:w="32" w:type="pct"/>
                <w:wAfter w:w="968" w:type="pct"/>
                <w:trHeight w:val="300"/>
              </w:trPr>
              <w:tc>
                <w:tcPr>
                  <w:tcW w:w="169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Gaz dans les conteneurs. Quels enjeux pour demain ?</w:t>
                  </w:r>
                </w:p>
              </w:tc>
              <w:tc>
                <w:tcPr>
                  <w:tcW w:w="276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2015</w:t>
                  </w:r>
                </w:p>
              </w:tc>
              <w:tc>
                <w:tcPr>
                  <w:tcW w:w="203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B736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3" w:history="1">
                    <w:r w:rsidR="00A915A1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 xml:space="preserve">TS, n° 757, janvier 2015, p. 4 </w:t>
                    </w:r>
                  </w:hyperlink>
                </w:p>
              </w:tc>
            </w:tr>
            <w:tr w:rsidR="00A915A1" w:rsidRPr="007C3050" w:rsidTr="00A915A1">
              <w:trPr>
                <w:gridBefore w:val="1"/>
                <w:gridAfter w:val="1"/>
                <w:wBefore w:w="32" w:type="pct"/>
                <w:wAfter w:w="968" w:type="pct"/>
                <w:trHeight w:val="300"/>
              </w:trPr>
              <w:tc>
                <w:tcPr>
                  <w:tcW w:w="169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Conteneurs maritimes : attention aux vapeurs et gaz dangereux.</w:t>
                  </w:r>
                </w:p>
              </w:tc>
              <w:tc>
                <w:tcPr>
                  <w:tcW w:w="276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2014</w:t>
                  </w:r>
                </w:p>
              </w:tc>
              <w:tc>
                <w:tcPr>
                  <w:tcW w:w="203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lang w:eastAsia="fr-FR"/>
                    </w:rPr>
                    <w:t>TS, n° 234, janvier-février-mars 2014, pp. 6-9 &gt; erreur site &gt; archive papier</w:t>
                  </w:r>
                </w:p>
              </w:tc>
            </w:tr>
            <w:tr w:rsidR="00A915A1" w:rsidRPr="007C3050" w:rsidTr="00A915A1">
              <w:trPr>
                <w:gridBefore w:val="1"/>
                <w:gridAfter w:val="1"/>
                <w:wBefore w:w="32" w:type="pct"/>
                <w:wAfter w:w="968" w:type="pct"/>
                <w:trHeight w:val="300"/>
              </w:trPr>
              <w:tc>
                <w:tcPr>
                  <w:tcW w:w="169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Risques chimiques à l’ouverture des conteneurs maritimes.</w:t>
                  </w:r>
                </w:p>
              </w:tc>
              <w:tc>
                <w:tcPr>
                  <w:tcW w:w="276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2014</w:t>
                  </w:r>
                </w:p>
              </w:tc>
              <w:tc>
                <w:tcPr>
                  <w:tcW w:w="203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  <w:t>http://www.rst-sante-travail.fr/rst/pages-article/ArticleRST.html?ref=RST.AC%2071</w:t>
                  </w:r>
                </w:p>
              </w:tc>
            </w:tr>
            <w:tr w:rsidR="00A915A1" w:rsidRPr="007C3050" w:rsidTr="00A915A1">
              <w:trPr>
                <w:gridBefore w:val="1"/>
                <w:gridAfter w:val="1"/>
                <w:wBefore w:w="32" w:type="pct"/>
                <w:wAfter w:w="968" w:type="pct"/>
                <w:trHeight w:val="300"/>
              </w:trPr>
              <w:tc>
                <w:tcPr>
                  <w:tcW w:w="169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Transport maritime. Des conteneurs à toutes vapeurs ?</w:t>
                  </w:r>
                </w:p>
              </w:tc>
              <w:tc>
                <w:tcPr>
                  <w:tcW w:w="276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2014</w:t>
                  </w:r>
                </w:p>
              </w:tc>
              <w:tc>
                <w:tcPr>
                  <w:tcW w:w="203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  <w:t>http://www.travail-et-securite.fr/visu/ts/ArticleTS/TI-TS754page30-31.html</w:t>
                  </w:r>
                </w:p>
              </w:tc>
            </w:tr>
            <w:tr w:rsidR="00A915A1" w:rsidRPr="007C3050" w:rsidTr="00A915A1">
              <w:trPr>
                <w:gridBefore w:val="1"/>
                <w:gridAfter w:val="1"/>
                <w:wBefore w:w="32" w:type="pct"/>
                <w:wAfter w:w="968" w:type="pct"/>
                <w:trHeight w:val="300"/>
              </w:trPr>
              <w:tc>
                <w:tcPr>
                  <w:tcW w:w="169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Gaz toxiques dans les conteneurs maritimes. Etat des lieux.</w:t>
                  </w:r>
                </w:p>
              </w:tc>
              <w:tc>
                <w:tcPr>
                  <w:tcW w:w="276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2013</w:t>
                  </w:r>
                </w:p>
              </w:tc>
              <w:tc>
                <w:tcPr>
                  <w:tcW w:w="203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  <w:t>http://www.inrs.fr/inrs/recherche/etudes-publications-communications/doc/publication.html?refINRS=NOETUDE%2FP2013-181%2FNS310</w:t>
                  </w:r>
                </w:p>
              </w:tc>
            </w:tr>
            <w:tr w:rsidR="00A915A1" w:rsidRPr="007C3050" w:rsidTr="00A915A1">
              <w:trPr>
                <w:gridBefore w:val="1"/>
                <w:gridAfter w:val="1"/>
                <w:wBefore w:w="32" w:type="pct"/>
                <w:wAfter w:w="968" w:type="pct"/>
                <w:trHeight w:val="300"/>
              </w:trPr>
              <w:tc>
                <w:tcPr>
                  <w:tcW w:w="169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R264. Prévention des risques visant le préposé aux signaux dans les enceintes portuaires </w:t>
                  </w:r>
                </w:p>
              </w:tc>
              <w:tc>
                <w:tcPr>
                  <w:tcW w:w="276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1985</w:t>
                  </w:r>
                </w:p>
              </w:tc>
              <w:tc>
                <w:tcPr>
                  <w:tcW w:w="203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B736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4" w:history="1">
                    <w:r w:rsidR="00A915A1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 xml:space="preserve">https://www.ameli.fr/sites/default/files/Documents/6847/document/r264.pdf </w:t>
                    </w:r>
                  </w:hyperlink>
                </w:p>
              </w:tc>
            </w:tr>
            <w:tr w:rsidR="00A915A1" w:rsidRPr="007C3050" w:rsidTr="00A915A1">
              <w:trPr>
                <w:gridBefore w:val="1"/>
                <w:gridAfter w:val="1"/>
                <w:wBefore w:w="32" w:type="pct"/>
                <w:wAfter w:w="968" w:type="pct"/>
                <w:trHeight w:val="300"/>
              </w:trPr>
              <w:tc>
                <w:tcPr>
                  <w:tcW w:w="169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R364. Prévention lors de la manutention de conteneurs à bord des navires </w:t>
                  </w:r>
                </w:p>
              </w:tc>
              <w:tc>
                <w:tcPr>
                  <w:tcW w:w="276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1993</w:t>
                  </w:r>
                </w:p>
              </w:tc>
              <w:tc>
                <w:tcPr>
                  <w:tcW w:w="203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B736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5" w:history="1">
                    <w:r w:rsidR="00A915A1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https://www.ameli.fr/sites/default/files/Documents/6875/document/r364.pdf</w:t>
                    </w:r>
                  </w:hyperlink>
                </w:p>
              </w:tc>
            </w:tr>
            <w:tr w:rsidR="00A915A1" w:rsidRPr="007C3050" w:rsidTr="00A915A1">
              <w:trPr>
                <w:gridBefore w:val="1"/>
                <w:gridAfter w:val="1"/>
                <w:wBefore w:w="32" w:type="pct"/>
                <w:wAfter w:w="968" w:type="pct"/>
                <w:trHeight w:val="300"/>
              </w:trPr>
              <w:tc>
                <w:tcPr>
                  <w:tcW w:w="169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R316. Manutention portuaire des grumes </w:t>
                  </w:r>
                </w:p>
              </w:tc>
              <w:tc>
                <w:tcPr>
                  <w:tcW w:w="276" w:type="pct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1988</w:t>
                  </w:r>
                </w:p>
              </w:tc>
              <w:tc>
                <w:tcPr>
                  <w:tcW w:w="203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  <w:t>https://www.ameli.fr/sites/default/files/Documents/6861/document/r316.pdf</w:t>
                  </w:r>
                </w:p>
              </w:tc>
            </w:tr>
            <w:tr w:rsidR="00A915A1" w:rsidRPr="007C3050" w:rsidTr="00A915A1">
              <w:trPr>
                <w:trHeight w:val="300"/>
              </w:trPr>
              <w:tc>
                <w:tcPr>
                  <w:tcW w:w="1703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18e Journées de médecine maritime 2016. </w:t>
                  </w:r>
                </w:p>
              </w:tc>
              <w:tc>
                <w:tcPr>
                  <w:tcW w:w="315" w:type="pct"/>
                  <w:gridSpan w:val="3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2017</w:t>
                  </w:r>
                </w:p>
              </w:tc>
              <w:tc>
                <w:tcPr>
                  <w:tcW w:w="298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B736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6" w:history="1">
                    <w:r w:rsidR="00A915A1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>http://www.inrs.fr/media.html?refINRS=TD%20237</w:t>
                    </w:r>
                  </w:hyperlink>
                </w:p>
              </w:tc>
            </w:tr>
            <w:tr w:rsidR="00A915A1" w:rsidRPr="007C3050" w:rsidTr="00A915A1">
              <w:trPr>
                <w:trHeight w:val="300"/>
              </w:trPr>
              <w:tc>
                <w:tcPr>
                  <w:tcW w:w="1703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Aquaculture. Dans le bain de la prévention.</w:t>
                  </w:r>
                </w:p>
              </w:tc>
              <w:tc>
                <w:tcPr>
                  <w:tcW w:w="315" w:type="pct"/>
                  <w:gridSpan w:val="3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2014</w:t>
                  </w:r>
                </w:p>
              </w:tc>
              <w:tc>
                <w:tcPr>
                  <w:tcW w:w="298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  <w:t>TS, n° 753, septembre 2014, pp. 32-39</w:t>
                  </w:r>
                </w:p>
              </w:tc>
            </w:tr>
            <w:tr w:rsidR="00A915A1" w:rsidRPr="007C3050" w:rsidTr="00A915A1">
              <w:trPr>
                <w:trHeight w:val="300"/>
              </w:trPr>
              <w:tc>
                <w:tcPr>
                  <w:tcW w:w="1703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Leptospirose et milieu professionnel. </w:t>
                  </w:r>
                </w:p>
              </w:tc>
              <w:tc>
                <w:tcPr>
                  <w:tcW w:w="315" w:type="pct"/>
                  <w:gridSpan w:val="3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2009</w:t>
                  </w:r>
                </w:p>
              </w:tc>
              <w:tc>
                <w:tcPr>
                  <w:tcW w:w="298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lang w:eastAsia="fr-FR"/>
                    </w:rPr>
                    <w:t>Documents pour le Médecin du Travail, n° 120, 4e trimestre 2009, pp. 485-489</w:t>
                  </w:r>
                </w:p>
              </w:tc>
            </w:tr>
            <w:tr w:rsidR="00A915A1" w:rsidRPr="007C3050" w:rsidTr="00A915A1">
              <w:trPr>
                <w:trHeight w:val="300"/>
              </w:trPr>
              <w:tc>
                <w:tcPr>
                  <w:tcW w:w="1703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lastRenderedPageBreak/>
                    <w:t>Dossier. Les travailleurs de la mer. La prévention s'amarine.</w:t>
                  </w:r>
                </w:p>
              </w:tc>
              <w:tc>
                <w:tcPr>
                  <w:tcW w:w="315" w:type="pct"/>
                  <w:gridSpan w:val="3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2008</w:t>
                  </w:r>
                </w:p>
              </w:tc>
              <w:tc>
                <w:tcPr>
                  <w:tcW w:w="298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TS, n° 681, février 2008, pp. 16-29,</w:t>
                  </w:r>
                </w:p>
              </w:tc>
            </w:tr>
            <w:tr w:rsidR="00A915A1" w:rsidRPr="007C3050" w:rsidTr="00A915A1">
              <w:trPr>
                <w:trHeight w:val="300"/>
              </w:trPr>
              <w:tc>
                <w:tcPr>
                  <w:tcW w:w="1703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Marins-pêcheurs : une charte pour la sécurité. "Prenons la mer, pas les risques".</w:t>
                  </w:r>
                </w:p>
              </w:tc>
              <w:tc>
                <w:tcPr>
                  <w:tcW w:w="315" w:type="pct"/>
                  <w:gridSpan w:val="3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2003</w:t>
                  </w:r>
                </w:p>
              </w:tc>
              <w:tc>
                <w:tcPr>
                  <w:tcW w:w="298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TS n° 625, janvier 2003, p. 14</w:t>
                  </w:r>
                </w:p>
              </w:tc>
            </w:tr>
            <w:tr w:rsidR="00A915A1" w:rsidRPr="007C3050" w:rsidTr="00A915A1">
              <w:trPr>
                <w:trHeight w:val="300"/>
              </w:trPr>
              <w:tc>
                <w:tcPr>
                  <w:tcW w:w="1703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Dossier : "Pêcheur", un métier à risques…</w:t>
                  </w:r>
                </w:p>
              </w:tc>
              <w:tc>
                <w:tcPr>
                  <w:tcW w:w="315" w:type="pct"/>
                  <w:gridSpan w:val="3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2000</w:t>
                  </w:r>
                </w:p>
              </w:tc>
              <w:tc>
                <w:tcPr>
                  <w:tcW w:w="298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TS 599 septembre 2000, p. 22-37</w:t>
                  </w:r>
                </w:p>
              </w:tc>
            </w:tr>
            <w:tr w:rsidR="00A915A1" w:rsidRPr="007C3050" w:rsidTr="00A915A1">
              <w:trPr>
                <w:trHeight w:val="300"/>
              </w:trPr>
              <w:tc>
                <w:tcPr>
                  <w:tcW w:w="1703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R264. Prévention des risques visant le préposé aux signaux dans les enceintes portuaires </w:t>
                  </w:r>
                </w:p>
              </w:tc>
              <w:tc>
                <w:tcPr>
                  <w:tcW w:w="315" w:type="pct"/>
                  <w:gridSpan w:val="3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915A1" w:rsidP="006022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7C3050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1985</w:t>
                  </w:r>
                </w:p>
              </w:tc>
              <w:tc>
                <w:tcPr>
                  <w:tcW w:w="2982" w:type="pct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single" w:sz="4" w:space="0" w:color="808080"/>
                  </w:tcBorders>
                  <w:shd w:val="clear" w:color="000000" w:fill="FFFFFF"/>
                  <w:noWrap/>
                  <w:vAlign w:val="center"/>
                  <w:hideMark/>
                </w:tcPr>
                <w:p w:rsidR="00A915A1" w:rsidRPr="007C3050" w:rsidRDefault="00AB7362" w:rsidP="006022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563C1"/>
                      <w:u w:val="single"/>
                      <w:lang w:eastAsia="fr-FR"/>
                    </w:rPr>
                  </w:pPr>
                  <w:hyperlink r:id="rId17" w:history="1">
                    <w:r w:rsidR="00A915A1" w:rsidRPr="007C3050">
                      <w:rPr>
                        <w:rFonts w:ascii="Calibri" w:eastAsia="Times New Roman" w:hAnsi="Calibri" w:cs="Times New Roman"/>
                        <w:color w:val="0563C1"/>
                        <w:u w:val="single"/>
                        <w:lang w:eastAsia="fr-FR"/>
                      </w:rPr>
                      <w:t xml:space="preserve">https://www.ameli.fr/sites/default/files/Documents/6847/document/r264.pdf </w:t>
                    </w:r>
                  </w:hyperlink>
                </w:p>
              </w:tc>
            </w:tr>
          </w:tbl>
          <w:p w:rsidR="00331B06" w:rsidRDefault="00331B06" w:rsidP="00BF584A">
            <w:pPr>
              <w:jc w:val="center"/>
              <w:rPr>
                <w:b/>
              </w:rPr>
            </w:pPr>
          </w:p>
        </w:tc>
      </w:tr>
      <w:tr w:rsidR="00BA5332" w:rsidTr="00331B06">
        <w:tc>
          <w:tcPr>
            <w:tcW w:w="9212" w:type="dxa"/>
            <w:shd w:val="clear" w:color="auto" w:fill="92D050"/>
          </w:tcPr>
          <w:p w:rsidR="00BA5332" w:rsidRDefault="00BA5332" w:rsidP="00BA533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Aménagements envisageables (en fonction du handicap/faisabilité…)</w:t>
            </w:r>
            <w:r w:rsidR="005032E8">
              <w:rPr>
                <w:rStyle w:val="Appelnotedebasdep"/>
                <w:b/>
              </w:rPr>
              <w:footnoteReference w:id="10"/>
            </w:r>
          </w:p>
        </w:tc>
      </w:tr>
      <w:tr w:rsidR="00BA5332" w:rsidTr="00331B06">
        <w:tc>
          <w:tcPr>
            <w:tcW w:w="9212" w:type="dxa"/>
          </w:tcPr>
          <w:p w:rsidR="00BA5332" w:rsidRDefault="001B26B6" w:rsidP="00C11F34">
            <w:pPr>
              <w:pStyle w:val="Paragraphedeliste"/>
              <w:numPr>
                <w:ilvl w:val="0"/>
                <w:numId w:val="30"/>
              </w:numPr>
              <w:rPr>
                <w:b/>
              </w:rPr>
            </w:pPr>
            <w:r w:rsidRPr="00C11F34">
              <w:rPr>
                <w:b/>
              </w:rPr>
              <w:t>Moteur</w:t>
            </w:r>
            <w:r w:rsidR="001C17BB" w:rsidRPr="00C11F34">
              <w:rPr>
                <w:b/>
              </w:rPr>
              <w:t> :</w:t>
            </w:r>
          </w:p>
          <w:p w:rsidR="001A064A" w:rsidRPr="00C11F34" w:rsidRDefault="001A064A" w:rsidP="001A064A">
            <w:pPr>
              <w:pStyle w:val="Paragraphedeliste"/>
              <w:rPr>
                <w:b/>
              </w:rPr>
            </w:pPr>
          </w:p>
          <w:p w:rsidR="00314B24" w:rsidRDefault="001B26B6" w:rsidP="00C11F34">
            <w:pPr>
              <w:pStyle w:val="Paragraphedeliste"/>
              <w:numPr>
                <w:ilvl w:val="0"/>
                <w:numId w:val="30"/>
              </w:numPr>
              <w:rPr>
                <w:b/>
              </w:rPr>
            </w:pPr>
            <w:r w:rsidRPr="00314B24">
              <w:rPr>
                <w:b/>
              </w:rPr>
              <w:t>Sensoriel</w:t>
            </w:r>
            <w:r w:rsidR="001A064A">
              <w:rPr>
                <w:b/>
              </w:rPr>
              <w:t> :</w:t>
            </w:r>
          </w:p>
          <w:p w:rsidR="001A064A" w:rsidRDefault="001A064A" w:rsidP="001A064A">
            <w:pPr>
              <w:pStyle w:val="Paragraphedeliste"/>
              <w:rPr>
                <w:b/>
              </w:rPr>
            </w:pPr>
          </w:p>
          <w:p w:rsidR="001B26B6" w:rsidRDefault="001C17BB" w:rsidP="00C11F34">
            <w:pPr>
              <w:pStyle w:val="Paragraphedeliste"/>
              <w:numPr>
                <w:ilvl w:val="0"/>
                <w:numId w:val="30"/>
              </w:numPr>
              <w:rPr>
                <w:b/>
              </w:rPr>
            </w:pPr>
            <w:r w:rsidRPr="00314B24">
              <w:rPr>
                <w:b/>
              </w:rPr>
              <w:t>Mental :</w:t>
            </w:r>
          </w:p>
          <w:p w:rsidR="001A064A" w:rsidRPr="00314B24" w:rsidRDefault="001A064A" w:rsidP="001A064A">
            <w:pPr>
              <w:pStyle w:val="Paragraphedeliste"/>
              <w:rPr>
                <w:b/>
              </w:rPr>
            </w:pPr>
          </w:p>
          <w:p w:rsidR="001C17BB" w:rsidRDefault="001C17BB" w:rsidP="00C11F34">
            <w:pPr>
              <w:pStyle w:val="Paragraphedeliste"/>
              <w:numPr>
                <w:ilvl w:val="0"/>
                <w:numId w:val="30"/>
              </w:numPr>
              <w:rPr>
                <w:b/>
              </w:rPr>
            </w:pPr>
            <w:r w:rsidRPr="00C11F34">
              <w:rPr>
                <w:b/>
              </w:rPr>
              <w:t>Psychique :</w:t>
            </w:r>
          </w:p>
          <w:p w:rsidR="001A064A" w:rsidRPr="001A064A" w:rsidRDefault="001A064A" w:rsidP="001A064A">
            <w:pPr>
              <w:pStyle w:val="Paragraphedeliste"/>
              <w:rPr>
                <w:b/>
              </w:rPr>
            </w:pPr>
          </w:p>
          <w:p w:rsidR="001A064A" w:rsidRPr="005032E8" w:rsidRDefault="001A064A" w:rsidP="005032E8">
            <w:pPr>
              <w:rPr>
                <w:b/>
              </w:rPr>
            </w:pPr>
          </w:p>
        </w:tc>
      </w:tr>
    </w:tbl>
    <w:p w:rsidR="00624936" w:rsidRDefault="00624936" w:rsidP="00624936">
      <w:pPr>
        <w:rPr>
          <w:b/>
        </w:rPr>
      </w:pPr>
    </w:p>
    <w:p w:rsidR="00136E73" w:rsidRDefault="00136E73" w:rsidP="00624936">
      <w:pPr>
        <w:rPr>
          <w:b/>
        </w:rPr>
      </w:pPr>
    </w:p>
    <w:p w:rsidR="00136E73" w:rsidRPr="00141799" w:rsidRDefault="00136E73" w:rsidP="00141799">
      <w:pPr>
        <w:jc w:val="center"/>
        <w:rPr>
          <w:b/>
          <w:sz w:val="28"/>
          <w:szCs w:val="28"/>
        </w:rPr>
      </w:pPr>
      <w:r w:rsidRPr="00141799">
        <w:rPr>
          <w:b/>
          <w:sz w:val="28"/>
          <w:szCs w:val="28"/>
        </w:rPr>
        <w:t>Synthèse</w:t>
      </w:r>
    </w:p>
    <w:p w:rsidR="00136E73" w:rsidRPr="00624936" w:rsidRDefault="00141799" w:rsidP="00624936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79254031" wp14:editId="7D8DD656">
            <wp:extent cx="5760720" cy="3483625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6E73" w:rsidRPr="0062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362" w:rsidRDefault="00AB7362" w:rsidP="00343251">
      <w:pPr>
        <w:spacing w:after="0" w:line="240" w:lineRule="auto"/>
      </w:pPr>
      <w:r>
        <w:separator/>
      </w:r>
    </w:p>
  </w:endnote>
  <w:endnote w:type="continuationSeparator" w:id="0">
    <w:p w:rsidR="00AB7362" w:rsidRDefault="00AB7362" w:rsidP="0034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362" w:rsidRDefault="00AB7362" w:rsidP="00343251">
      <w:pPr>
        <w:spacing w:after="0" w:line="240" w:lineRule="auto"/>
      </w:pPr>
      <w:r>
        <w:separator/>
      </w:r>
    </w:p>
  </w:footnote>
  <w:footnote w:type="continuationSeparator" w:id="0">
    <w:p w:rsidR="00AB7362" w:rsidRDefault="00AB7362" w:rsidP="00343251">
      <w:pPr>
        <w:spacing w:after="0" w:line="240" w:lineRule="auto"/>
      </w:pPr>
      <w:r>
        <w:continuationSeparator/>
      </w:r>
    </w:p>
  </w:footnote>
  <w:footnote w:id="1">
    <w:p w:rsidR="00DD1E15" w:rsidRDefault="00DD1E1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0C361A">
        <w:t xml:space="preserve">Source : </w:t>
      </w:r>
      <w:proofErr w:type="spellStart"/>
      <w:r w:rsidRPr="00DD1E15">
        <w:t>Agefiph</w:t>
      </w:r>
      <w:proofErr w:type="spellEnd"/>
      <w:r w:rsidRPr="00DD1E15">
        <w:t xml:space="preserve"> à partir des déclaratifs des établissements en 2017</w:t>
      </w:r>
    </w:p>
  </w:footnote>
  <w:footnote w:id="2">
    <w:p w:rsidR="00D26185" w:rsidRPr="00D26185" w:rsidRDefault="00D26185">
      <w:pPr>
        <w:pStyle w:val="Notedebasdepage"/>
      </w:pPr>
      <w:r>
        <w:rPr>
          <w:rStyle w:val="Appelnotedebasdep"/>
        </w:rPr>
        <w:footnoteRef/>
      </w:r>
      <w:r w:rsidRPr="00D26185">
        <w:t xml:space="preserve"> Source</w:t>
      </w:r>
      <w:proofErr w:type="gramStart"/>
      <w:r w:rsidRPr="00D26185">
        <w:t xml:space="preserve">:  </w:t>
      </w:r>
      <w:proofErr w:type="spellStart"/>
      <w:r w:rsidRPr="00D26185">
        <w:t>Agefiph</w:t>
      </w:r>
      <w:proofErr w:type="spellEnd"/>
      <w:proofErr w:type="gramEnd"/>
      <w:r w:rsidRPr="00D26185">
        <w:t xml:space="preserve"> à partir de l’intégralité des déclarations 2017, tous codes d’activité confondus</w:t>
      </w:r>
    </w:p>
  </w:footnote>
  <w:footnote w:id="3">
    <w:p w:rsidR="000C361A" w:rsidRPr="00D26185" w:rsidRDefault="000C361A">
      <w:pPr>
        <w:pStyle w:val="Notedebasdepage"/>
      </w:pPr>
      <w:r>
        <w:rPr>
          <w:rStyle w:val="Appelnotedebasdep"/>
        </w:rPr>
        <w:footnoteRef/>
      </w:r>
      <w:r w:rsidRPr="00D26185">
        <w:t xml:space="preserve"> Source : </w:t>
      </w:r>
      <w:proofErr w:type="spellStart"/>
      <w:r w:rsidR="00D26185" w:rsidRPr="00D26185">
        <w:t>Agefiph</w:t>
      </w:r>
      <w:proofErr w:type="spellEnd"/>
      <w:r w:rsidR="00D26185" w:rsidRPr="00D26185">
        <w:t xml:space="preserve"> à partir des déclaratifs des établissements en 2017</w:t>
      </w:r>
    </w:p>
  </w:footnote>
  <w:footnote w:id="4">
    <w:p w:rsidR="00DD1E15" w:rsidRPr="00D26185" w:rsidRDefault="00DD1E15">
      <w:pPr>
        <w:pStyle w:val="Notedebasdepage"/>
      </w:pPr>
      <w:r>
        <w:rPr>
          <w:rStyle w:val="Appelnotedebasdep"/>
        </w:rPr>
        <w:footnoteRef/>
      </w:r>
      <w:r w:rsidRPr="00D26185">
        <w:t xml:space="preserve">  Source : </w:t>
      </w:r>
      <w:proofErr w:type="spellStart"/>
      <w:r w:rsidR="00D26185" w:rsidRPr="00D26185">
        <w:t>Agefiph</w:t>
      </w:r>
      <w:proofErr w:type="spellEnd"/>
      <w:r w:rsidR="00D26185" w:rsidRPr="00D26185">
        <w:t xml:space="preserve"> à partir de l’intégralité des déclarations 2017, tous codes d’activité confondus</w:t>
      </w:r>
    </w:p>
  </w:footnote>
  <w:footnote w:id="5">
    <w:p w:rsidR="00C54128" w:rsidRPr="00AD3354" w:rsidRDefault="00C54128">
      <w:pPr>
        <w:pStyle w:val="Notedebasdepage"/>
      </w:pPr>
      <w:r>
        <w:rPr>
          <w:rStyle w:val="Appelnotedebasdep"/>
        </w:rPr>
        <w:footnoteRef/>
      </w:r>
      <w:r w:rsidRPr="00AD3354">
        <w:t xml:space="preserve"> Source : Agefiph</w:t>
      </w:r>
    </w:p>
  </w:footnote>
  <w:footnote w:id="6">
    <w:p w:rsidR="0037467D" w:rsidRDefault="0037467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7467D">
        <w:t>Règle B1.2.1 : suivre les « Directives internationales relatives à la conduite des examens médicaux précédant l’embarquement et des examens médicaux périodiques des gens de mer »</w:t>
      </w:r>
    </w:p>
  </w:footnote>
  <w:footnote w:id="7">
    <w:p w:rsidR="00674B53" w:rsidRDefault="00674B53" w:rsidP="00674B53">
      <w:pPr>
        <w:pStyle w:val="Notedebasdepage"/>
      </w:pPr>
      <w:r>
        <w:rPr>
          <w:rStyle w:val="Appelnotedebasdep"/>
        </w:rPr>
        <w:footnoteRef/>
      </w:r>
      <w:r>
        <w:t xml:space="preserve"> Le cas des « non gens de mer », non concernés, n’est pas traité ici</w:t>
      </w:r>
    </w:p>
  </w:footnote>
  <w:footnote w:id="8">
    <w:p w:rsidR="008264B2" w:rsidRDefault="008264B2" w:rsidP="008264B2">
      <w:pPr>
        <w:pStyle w:val="Notedebasdepage"/>
      </w:pPr>
      <w:r>
        <w:rPr>
          <w:rStyle w:val="Appelnotedebasdep"/>
        </w:rPr>
        <w:footnoteRef/>
      </w:r>
      <w:r>
        <w:t xml:space="preserve"> Fiche fmpcisme.org</w:t>
      </w:r>
    </w:p>
  </w:footnote>
  <w:footnote w:id="9">
    <w:p w:rsidR="001A064A" w:rsidRDefault="001A064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A064A">
        <w:t>Sont ici recensées les principales actions de prévention pertinentes pour ce domaine d’activité, au-delà donc de celles qui viseraient spécifiquement une prévention adaptée aux salariés handicapés</w:t>
      </w:r>
    </w:p>
  </w:footnote>
  <w:footnote w:id="10">
    <w:p w:rsidR="005032E8" w:rsidRDefault="005032E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032E8">
        <w:t>Partie à compléter et à joindre par les répondants au formulaire de réponse adressé au secrétariat d’Etat chargé des Personnes handicapées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169"/>
    <w:multiLevelType w:val="multilevel"/>
    <w:tmpl w:val="898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26580"/>
    <w:multiLevelType w:val="multilevel"/>
    <w:tmpl w:val="5214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26051"/>
    <w:multiLevelType w:val="multilevel"/>
    <w:tmpl w:val="78C8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95BB7"/>
    <w:multiLevelType w:val="multilevel"/>
    <w:tmpl w:val="6998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92C9C"/>
    <w:multiLevelType w:val="multilevel"/>
    <w:tmpl w:val="4DC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87111"/>
    <w:multiLevelType w:val="multilevel"/>
    <w:tmpl w:val="E7B8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B6F74"/>
    <w:multiLevelType w:val="multilevel"/>
    <w:tmpl w:val="E7C8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282AD0"/>
    <w:multiLevelType w:val="multilevel"/>
    <w:tmpl w:val="6800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15F7C"/>
    <w:multiLevelType w:val="multilevel"/>
    <w:tmpl w:val="BB541620"/>
    <w:lvl w:ilvl="0">
      <w:start w:val="1"/>
      <w:numFmt w:val="decimal"/>
      <w:pStyle w:val="TTableau"/>
      <w:lvlText w:val="Tableau %1 :"/>
      <w:lvlJc w:val="left"/>
      <w:pPr>
        <w:tabs>
          <w:tab w:val="num" w:pos="4894"/>
        </w:tabs>
        <w:ind w:left="4537" w:firstLine="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0000FF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C3C62A2"/>
    <w:multiLevelType w:val="hybridMultilevel"/>
    <w:tmpl w:val="535663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85DF8"/>
    <w:multiLevelType w:val="hybridMultilevel"/>
    <w:tmpl w:val="868C0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025B0"/>
    <w:multiLevelType w:val="hybridMultilevel"/>
    <w:tmpl w:val="EFAC4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E2DF3"/>
    <w:multiLevelType w:val="multilevel"/>
    <w:tmpl w:val="F436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E86CE4"/>
    <w:multiLevelType w:val="hybridMultilevel"/>
    <w:tmpl w:val="D8B4ED8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D6657B5"/>
    <w:multiLevelType w:val="multilevel"/>
    <w:tmpl w:val="22CA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1A4CB4"/>
    <w:multiLevelType w:val="multilevel"/>
    <w:tmpl w:val="BCC6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4A2752"/>
    <w:multiLevelType w:val="hybridMultilevel"/>
    <w:tmpl w:val="85ACA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D47F8"/>
    <w:multiLevelType w:val="hybridMultilevel"/>
    <w:tmpl w:val="56485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137C6"/>
    <w:multiLevelType w:val="multilevel"/>
    <w:tmpl w:val="DB86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767F36"/>
    <w:multiLevelType w:val="multilevel"/>
    <w:tmpl w:val="0868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560D66"/>
    <w:multiLevelType w:val="hybridMultilevel"/>
    <w:tmpl w:val="D1EE16BA"/>
    <w:lvl w:ilvl="0" w:tplc="F85EC004">
      <w:start w:val="65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00509"/>
    <w:multiLevelType w:val="hybridMultilevel"/>
    <w:tmpl w:val="375E5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F0127"/>
    <w:multiLevelType w:val="hybridMultilevel"/>
    <w:tmpl w:val="DFB0F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24B28"/>
    <w:multiLevelType w:val="multilevel"/>
    <w:tmpl w:val="2472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73527F"/>
    <w:multiLevelType w:val="hybridMultilevel"/>
    <w:tmpl w:val="0EA4F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5132E"/>
    <w:multiLevelType w:val="hybridMultilevel"/>
    <w:tmpl w:val="DEE0F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235F33"/>
    <w:multiLevelType w:val="multilevel"/>
    <w:tmpl w:val="FB52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6A0A71"/>
    <w:multiLevelType w:val="hybridMultilevel"/>
    <w:tmpl w:val="89E49B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37DDD"/>
    <w:multiLevelType w:val="hybridMultilevel"/>
    <w:tmpl w:val="AE7EB8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C7533"/>
    <w:multiLevelType w:val="hybridMultilevel"/>
    <w:tmpl w:val="02E21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B725D"/>
    <w:multiLevelType w:val="hybridMultilevel"/>
    <w:tmpl w:val="5F6E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3F6838"/>
    <w:multiLevelType w:val="hybridMultilevel"/>
    <w:tmpl w:val="A64E7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086F9C"/>
    <w:multiLevelType w:val="hybridMultilevel"/>
    <w:tmpl w:val="1EC26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548D9"/>
    <w:multiLevelType w:val="multilevel"/>
    <w:tmpl w:val="EB28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3D2998"/>
    <w:multiLevelType w:val="multilevel"/>
    <w:tmpl w:val="C008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1845DD"/>
    <w:multiLevelType w:val="multilevel"/>
    <w:tmpl w:val="DE5C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5"/>
  </w:num>
  <w:num w:numId="5">
    <w:abstractNumId w:val="35"/>
  </w:num>
  <w:num w:numId="6">
    <w:abstractNumId w:val="1"/>
  </w:num>
  <w:num w:numId="7">
    <w:abstractNumId w:val="29"/>
  </w:num>
  <w:num w:numId="8">
    <w:abstractNumId w:val="13"/>
  </w:num>
  <w:num w:numId="9">
    <w:abstractNumId w:val="18"/>
  </w:num>
  <w:num w:numId="10">
    <w:abstractNumId w:val="3"/>
  </w:num>
  <w:num w:numId="11">
    <w:abstractNumId w:val="14"/>
  </w:num>
  <w:num w:numId="12">
    <w:abstractNumId w:val="7"/>
  </w:num>
  <w:num w:numId="13">
    <w:abstractNumId w:val="23"/>
  </w:num>
  <w:num w:numId="14">
    <w:abstractNumId w:val="12"/>
  </w:num>
  <w:num w:numId="15">
    <w:abstractNumId w:val="26"/>
  </w:num>
  <w:num w:numId="16">
    <w:abstractNumId w:val="4"/>
  </w:num>
  <w:num w:numId="17">
    <w:abstractNumId w:val="2"/>
  </w:num>
  <w:num w:numId="18">
    <w:abstractNumId w:val="19"/>
  </w:num>
  <w:num w:numId="19">
    <w:abstractNumId w:val="33"/>
  </w:num>
  <w:num w:numId="20">
    <w:abstractNumId w:val="0"/>
  </w:num>
  <w:num w:numId="21">
    <w:abstractNumId w:val="34"/>
  </w:num>
  <w:num w:numId="22">
    <w:abstractNumId w:val="17"/>
  </w:num>
  <w:num w:numId="23">
    <w:abstractNumId w:val="31"/>
  </w:num>
  <w:num w:numId="24">
    <w:abstractNumId w:val="21"/>
  </w:num>
  <w:num w:numId="25">
    <w:abstractNumId w:val="30"/>
  </w:num>
  <w:num w:numId="26">
    <w:abstractNumId w:val="16"/>
  </w:num>
  <w:num w:numId="27">
    <w:abstractNumId w:val="27"/>
  </w:num>
  <w:num w:numId="28">
    <w:abstractNumId w:val="24"/>
  </w:num>
  <w:num w:numId="29">
    <w:abstractNumId w:val="10"/>
  </w:num>
  <w:num w:numId="30">
    <w:abstractNumId w:val="22"/>
  </w:num>
  <w:num w:numId="31">
    <w:abstractNumId w:val="9"/>
  </w:num>
  <w:num w:numId="32">
    <w:abstractNumId w:val="8"/>
  </w:num>
  <w:num w:numId="33">
    <w:abstractNumId w:val="25"/>
  </w:num>
  <w:num w:numId="34">
    <w:abstractNumId w:val="11"/>
  </w:num>
  <w:num w:numId="35">
    <w:abstractNumId w:val="32"/>
  </w:num>
  <w:num w:numId="36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36"/>
    <w:rsid w:val="00020215"/>
    <w:rsid w:val="0003259D"/>
    <w:rsid w:val="00051E24"/>
    <w:rsid w:val="0008304E"/>
    <w:rsid w:val="00090903"/>
    <w:rsid w:val="0009200D"/>
    <w:rsid w:val="000C24F2"/>
    <w:rsid w:val="000C361A"/>
    <w:rsid w:val="000C3F95"/>
    <w:rsid w:val="000D423F"/>
    <w:rsid w:val="000E3432"/>
    <w:rsid w:val="000E53AC"/>
    <w:rsid w:val="00117932"/>
    <w:rsid w:val="00122EA6"/>
    <w:rsid w:val="00123D60"/>
    <w:rsid w:val="00136E73"/>
    <w:rsid w:val="00141799"/>
    <w:rsid w:val="00160F2F"/>
    <w:rsid w:val="001A064A"/>
    <w:rsid w:val="001B26B6"/>
    <w:rsid w:val="001B3E4B"/>
    <w:rsid w:val="001C17BB"/>
    <w:rsid w:val="001E0D51"/>
    <w:rsid w:val="001E4928"/>
    <w:rsid w:val="001F0331"/>
    <w:rsid w:val="001F24E1"/>
    <w:rsid w:val="001F4257"/>
    <w:rsid w:val="00207725"/>
    <w:rsid w:val="00221337"/>
    <w:rsid w:val="00221676"/>
    <w:rsid w:val="00273E45"/>
    <w:rsid w:val="00274078"/>
    <w:rsid w:val="0029206D"/>
    <w:rsid w:val="002A6E5E"/>
    <w:rsid w:val="002F0451"/>
    <w:rsid w:val="00314B24"/>
    <w:rsid w:val="00331B06"/>
    <w:rsid w:val="00331D3B"/>
    <w:rsid w:val="00343251"/>
    <w:rsid w:val="00355075"/>
    <w:rsid w:val="00360702"/>
    <w:rsid w:val="003645E2"/>
    <w:rsid w:val="0037467D"/>
    <w:rsid w:val="0037547F"/>
    <w:rsid w:val="003E3105"/>
    <w:rsid w:val="0042213D"/>
    <w:rsid w:val="004408CD"/>
    <w:rsid w:val="0044748B"/>
    <w:rsid w:val="004476C3"/>
    <w:rsid w:val="00457285"/>
    <w:rsid w:val="004720AD"/>
    <w:rsid w:val="004769AF"/>
    <w:rsid w:val="004C2E9A"/>
    <w:rsid w:val="004C5B18"/>
    <w:rsid w:val="004D190E"/>
    <w:rsid w:val="004E3847"/>
    <w:rsid w:val="004F41A2"/>
    <w:rsid w:val="004F66EB"/>
    <w:rsid w:val="005032E8"/>
    <w:rsid w:val="0051171E"/>
    <w:rsid w:val="0053725F"/>
    <w:rsid w:val="0056263E"/>
    <w:rsid w:val="005A25CF"/>
    <w:rsid w:val="005D7B5C"/>
    <w:rsid w:val="00602673"/>
    <w:rsid w:val="00621D18"/>
    <w:rsid w:val="00624936"/>
    <w:rsid w:val="00627620"/>
    <w:rsid w:val="00674B53"/>
    <w:rsid w:val="006F2D96"/>
    <w:rsid w:val="007238D1"/>
    <w:rsid w:val="00746255"/>
    <w:rsid w:val="00746E66"/>
    <w:rsid w:val="0076476D"/>
    <w:rsid w:val="007C2413"/>
    <w:rsid w:val="008264B2"/>
    <w:rsid w:val="00835238"/>
    <w:rsid w:val="00850DE0"/>
    <w:rsid w:val="008762BF"/>
    <w:rsid w:val="008A4D3C"/>
    <w:rsid w:val="008C19AB"/>
    <w:rsid w:val="0091220E"/>
    <w:rsid w:val="009837B6"/>
    <w:rsid w:val="00A37330"/>
    <w:rsid w:val="00A46BE0"/>
    <w:rsid w:val="00A73D73"/>
    <w:rsid w:val="00A915A1"/>
    <w:rsid w:val="00AA4A2E"/>
    <w:rsid w:val="00AB282D"/>
    <w:rsid w:val="00AB7362"/>
    <w:rsid w:val="00AC79FD"/>
    <w:rsid w:val="00AD3354"/>
    <w:rsid w:val="00AF4DE7"/>
    <w:rsid w:val="00B20DA3"/>
    <w:rsid w:val="00B53872"/>
    <w:rsid w:val="00BA5332"/>
    <w:rsid w:val="00BB00DA"/>
    <w:rsid w:val="00BC1665"/>
    <w:rsid w:val="00BF584A"/>
    <w:rsid w:val="00C11F34"/>
    <w:rsid w:val="00C232DD"/>
    <w:rsid w:val="00C25F3F"/>
    <w:rsid w:val="00C54128"/>
    <w:rsid w:val="00C74AA5"/>
    <w:rsid w:val="00CB4669"/>
    <w:rsid w:val="00CC3E0F"/>
    <w:rsid w:val="00CC5C34"/>
    <w:rsid w:val="00CC6879"/>
    <w:rsid w:val="00D01951"/>
    <w:rsid w:val="00D02365"/>
    <w:rsid w:val="00D03703"/>
    <w:rsid w:val="00D22A24"/>
    <w:rsid w:val="00D26185"/>
    <w:rsid w:val="00D45D8D"/>
    <w:rsid w:val="00D74BE8"/>
    <w:rsid w:val="00D76611"/>
    <w:rsid w:val="00DA35F5"/>
    <w:rsid w:val="00DA5FB1"/>
    <w:rsid w:val="00DB1F8C"/>
    <w:rsid w:val="00DC2AAE"/>
    <w:rsid w:val="00DC2F0A"/>
    <w:rsid w:val="00DD0093"/>
    <w:rsid w:val="00DD1E15"/>
    <w:rsid w:val="00E372B6"/>
    <w:rsid w:val="00E427A7"/>
    <w:rsid w:val="00E45843"/>
    <w:rsid w:val="00E539B8"/>
    <w:rsid w:val="00E6122F"/>
    <w:rsid w:val="00ED73B9"/>
    <w:rsid w:val="00EE2D64"/>
    <w:rsid w:val="00EF011F"/>
    <w:rsid w:val="00F229BE"/>
    <w:rsid w:val="00F25389"/>
    <w:rsid w:val="00F257C7"/>
    <w:rsid w:val="00F666D8"/>
    <w:rsid w:val="00FA61BD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23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3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46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43251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325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325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325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1B26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B26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B26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26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26B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6B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23D6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123D60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539B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Aucuneliste1">
    <w:name w:val="Aucune liste1"/>
    <w:next w:val="Aucuneliste"/>
    <w:uiPriority w:val="99"/>
    <w:semiHidden/>
    <w:unhideWhenUsed/>
    <w:rsid w:val="00E539B8"/>
  </w:style>
  <w:style w:type="character" w:styleId="Lienhypertextesuivivisit">
    <w:name w:val="FollowedHyperlink"/>
    <w:basedOn w:val="Policepardfaut"/>
    <w:uiPriority w:val="99"/>
    <w:semiHidden/>
    <w:unhideWhenUsed/>
    <w:rsid w:val="00E539B8"/>
    <w:rPr>
      <w:color w:val="800080"/>
      <w:u w:val="single"/>
    </w:rPr>
  </w:style>
  <w:style w:type="character" w:styleId="Accentuation">
    <w:name w:val="Emphasis"/>
    <w:basedOn w:val="Policepardfaut"/>
    <w:uiPriority w:val="20"/>
    <w:qFormat/>
    <w:rsid w:val="00E539B8"/>
    <w:rPr>
      <w:i/>
      <w:iCs/>
    </w:rPr>
  </w:style>
  <w:style w:type="paragraph" w:customStyle="1" w:styleId="western">
    <w:name w:val="western"/>
    <w:basedOn w:val="Normal"/>
    <w:rsid w:val="00E5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160F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361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361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C361A"/>
    <w:rPr>
      <w:vertAlign w:val="superscript"/>
    </w:rPr>
  </w:style>
  <w:style w:type="paragraph" w:customStyle="1" w:styleId="TTableau">
    <w:name w:val="TTableau"/>
    <w:next w:val="Normal"/>
    <w:uiPriority w:val="6"/>
    <w:qFormat/>
    <w:rsid w:val="00020215"/>
    <w:pPr>
      <w:keepNext/>
      <w:numPr>
        <w:numId w:val="32"/>
      </w:numPr>
      <w:tabs>
        <w:tab w:val="clear" w:pos="4894"/>
        <w:tab w:val="num" w:pos="357"/>
      </w:tabs>
      <w:spacing w:before="240" w:after="180" w:line="240" w:lineRule="auto"/>
      <w:ind w:left="0"/>
      <w:jc w:val="center"/>
      <w:outlineLvl w:val="5"/>
    </w:pPr>
    <w:rPr>
      <w:rFonts w:ascii="Cambria" w:hAnsi="Cambria"/>
      <w:color w:val="0000FF"/>
    </w:rPr>
  </w:style>
  <w:style w:type="table" w:customStyle="1" w:styleId="Grilledutableau1">
    <w:name w:val="Grille du tableau1"/>
    <w:basedOn w:val="TableauNormal"/>
    <w:next w:val="Grilledutableau"/>
    <w:uiPriority w:val="59"/>
    <w:rsid w:val="0002021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23D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3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B46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3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43251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325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4325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43251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1B26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B26B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B26B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26B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26B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6B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123D6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123D60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539B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Aucuneliste1">
    <w:name w:val="Aucune liste1"/>
    <w:next w:val="Aucuneliste"/>
    <w:uiPriority w:val="99"/>
    <w:semiHidden/>
    <w:unhideWhenUsed/>
    <w:rsid w:val="00E539B8"/>
  </w:style>
  <w:style w:type="character" w:styleId="Lienhypertextesuivivisit">
    <w:name w:val="FollowedHyperlink"/>
    <w:basedOn w:val="Policepardfaut"/>
    <w:uiPriority w:val="99"/>
    <w:semiHidden/>
    <w:unhideWhenUsed/>
    <w:rsid w:val="00E539B8"/>
    <w:rPr>
      <w:color w:val="800080"/>
      <w:u w:val="single"/>
    </w:rPr>
  </w:style>
  <w:style w:type="character" w:styleId="Accentuation">
    <w:name w:val="Emphasis"/>
    <w:basedOn w:val="Policepardfaut"/>
    <w:uiPriority w:val="20"/>
    <w:qFormat/>
    <w:rsid w:val="00E539B8"/>
    <w:rPr>
      <w:i/>
      <w:iCs/>
    </w:rPr>
  </w:style>
  <w:style w:type="paragraph" w:customStyle="1" w:styleId="western">
    <w:name w:val="western"/>
    <w:basedOn w:val="Normal"/>
    <w:rsid w:val="00E53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160F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361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C361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C361A"/>
    <w:rPr>
      <w:vertAlign w:val="superscript"/>
    </w:rPr>
  </w:style>
  <w:style w:type="paragraph" w:customStyle="1" w:styleId="TTableau">
    <w:name w:val="TTableau"/>
    <w:next w:val="Normal"/>
    <w:uiPriority w:val="6"/>
    <w:qFormat/>
    <w:rsid w:val="00020215"/>
    <w:pPr>
      <w:keepNext/>
      <w:numPr>
        <w:numId w:val="32"/>
      </w:numPr>
      <w:tabs>
        <w:tab w:val="clear" w:pos="4894"/>
        <w:tab w:val="num" w:pos="357"/>
      </w:tabs>
      <w:spacing w:before="240" w:after="180" w:line="240" w:lineRule="auto"/>
      <w:ind w:left="0"/>
      <w:jc w:val="center"/>
      <w:outlineLvl w:val="5"/>
    </w:pPr>
    <w:rPr>
      <w:rFonts w:ascii="Cambria" w:hAnsi="Cambria"/>
      <w:color w:val="0000FF"/>
    </w:rPr>
  </w:style>
  <w:style w:type="table" w:customStyle="1" w:styleId="Grilledutableau1">
    <w:name w:val="Grille du tableau1"/>
    <w:basedOn w:val="TableauNormal"/>
    <w:next w:val="Grilledutableau"/>
    <w:uiPriority w:val="59"/>
    <w:rsid w:val="0002021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6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6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9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9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2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7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jennifer.shettle\AppData\Local\Temp\notes251A2C\TS757_Gaz%20dans%20les%20conteneurs%20Quels%20enjeux%20pour%20demain.pdf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rs.fr/media.html?refINRS=TD%20237" TargetMode="External"/><Relationship Id="rId17" Type="http://schemas.openxmlformats.org/officeDocument/2006/relationships/hyperlink" Target="https://www.ameli.fr/sites/default/files/Documents/6847/document/r26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rs.fr/media.html?refINRS=TD%2023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rs.fr/inrs/recherche/etudes-publications-communications/doc/communication.html?refINRS=EL2017-010%2FC2018-0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meli.fr/sites/default/files/Documents/6875/document/r364.pdf" TargetMode="External"/><Relationship Id="rId10" Type="http://schemas.openxmlformats.org/officeDocument/2006/relationships/hyperlink" Target="http://www.rst-sante-travail.fr/rst/pages-article/ArticleRST.html?ref=RST.QR%207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ogle.fr/url?sa=t&amp;rct=j&amp;q=&amp;esrc=s&amp;source=web&amp;cd=1&amp;ved=2ahUKEwji_MCOyJ3hAhWuzIUKHQzKBJsQFjAAegQIBBAC&amp;url=http%3A%2F%2Fwww.travail-et-securite.fr%2Fdms%2Fts%2FArticleTS%2FTI-TS756page12-14&amp;usg=AOvVaw10UYxDAUE_jq6nTVFvTN8_" TargetMode="External"/><Relationship Id="rId14" Type="http://schemas.openxmlformats.org/officeDocument/2006/relationships/hyperlink" Target="https://www.ameli.fr/sites/default/files/Documents/6847/document/r264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72F2-3347-44D9-8091-AF3E7679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1842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LANOUZIERE, Herve</dc:creator>
  <cp:lastModifiedBy>LANOUZIERE, Herve</cp:lastModifiedBy>
  <cp:revision>41</cp:revision>
  <dcterms:created xsi:type="dcterms:W3CDTF">2019-02-06T13:08:00Z</dcterms:created>
  <dcterms:modified xsi:type="dcterms:W3CDTF">2019-03-25T20:47:00Z</dcterms:modified>
</cp:coreProperties>
</file>