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51" w:rsidRDefault="00624936" w:rsidP="00624936">
      <w:pPr>
        <w:jc w:val="center"/>
      </w:pPr>
      <w:r w:rsidRPr="00EF011F">
        <w:rPr>
          <w:b/>
          <w:sz w:val="32"/>
          <w:szCs w:val="32"/>
        </w:rPr>
        <w:t>Fiche technique</w:t>
      </w:r>
      <w:r w:rsidR="00343251" w:rsidRPr="00343251">
        <w:t xml:space="preserve"> </w:t>
      </w:r>
    </w:p>
    <w:p w:rsidR="005A25CF" w:rsidRPr="00EF011F" w:rsidRDefault="00602673" w:rsidP="006249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Ouvrier du TP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20DA3" w:rsidTr="00ED06DC">
        <w:tc>
          <w:tcPr>
            <w:tcW w:w="9212" w:type="dxa"/>
            <w:shd w:val="clear" w:color="auto" w:fill="92D050"/>
          </w:tcPr>
          <w:p w:rsidR="00B20DA3" w:rsidRDefault="00216F48" w:rsidP="00B25FC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B20DA3">
              <w:rPr>
                <w:b/>
              </w:rPr>
              <w:t xml:space="preserve">omenclature </w:t>
            </w:r>
            <w:r w:rsidR="00B25FC9">
              <w:rPr>
                <w:b/>
              </w:rPr>
              <w:t>PCS</w:t>
            </w:r>
            <w:r w:rsidR="00B20DA3">
              <w:rPr>
                <w:b/>
              </w:rPr>
              <w:t xml:space="preserve"> ESE</w:t>
            </w:r>
          </w:p>
        </w:tc>
      </w:tr>
      <w:tr w:rsidR="00B20DA3" w:rsidRPr="00B20DA3" w:rsidTr="00ED06DC">
        <w:tc>
          <w:tcPr>
            <w:tcW w:w="9212" w:type="dxa"/>
          </w:tcPr>
          <w:p w:rsidR="00E45843" w:rsidRPr="006B016F" w:rsidRDefault="00602673" w:rsidP="00B25FC9">
            <w:pPr>
              <w:pStyle w:val="Paragraphedelist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B016F">
              <w:rPr>
                <w:rFonts w:ascii="Times New Roman" w:hAnsi="Times New Roman" w:cs="Times New Roman"/>
              </w:rPr>
              <w:t>621e :</w:t>
            </w:r>
            <w:r w:rsidR="00B25FC9" w:rsidRPr="006B016F">
              <w:rPr>
                <w:rFonts w:ascii="Times New Roman" w:hAnsi="Times New Roman" w:cs="Times New Roman"/>
              </w:rPr>
              <w:t xml:space="preserve"> </w:t>
            </w:r>
            <w:r w:rsidRPr="006B016F">
              <w:rPr>
                <w:rFonts w:ascii="Times New Roman" w:hAnsi="Times New Roman" w:cs="Times New Roman"/>
              </w:rPr>
              <w:t>Autres ouvriers qualifiés des travaux publics.</w:t>
            </w:r>
          </w:p>
        </w:tc>
      </w:tr>
      <w:tr w:rsidR="00DC644B" w:rsidRPr="00B20DA3" w:rsidTr="00ED06DC">
        <w:tc>
          <w:tcPr>
            <w:tcW w:w="9212" w:type="dxa"/>
            <w:shd w:val="clear" w:color="auto" w:fill="92D050"/>
          </w:tcPr>
          <w:p w:rsidR="00DC644B" w:rsidRPr="00B7398C" w:rsidRDefault="00DC644B" w:rsidP="00DC644B">
            <w:pPr>
              <w:jc w:val="center"/>
            </w:pPr>
            <w:r w:rsidRPr="00B7398C">
              <w:rPr>
                <w:rFonts w:eastAsia="Times New Roman" w:cs="Times New Roman"/>
                <w:b/>
                <w:lang w:eastAsia="fr-FR"/>
              </w:rPr>
              <w:t>Nombre de TH employés sur des emplois ECAP (2017)</w:t>
            </w:r>
          </w:p>
        </w:tc>
      </w:tr>
      <w:tr w:rsidR="00DC644B" w:rsidRPr="00B20DA3" w:rsidTr="00ED06DC">
        <w:tc>
          <w:tcPr>
            <w:tcW w:w="9212" w:type="dxa"/>
          </w:tcPr>
          <w:p w:rsidR="00DC644B" w:rsidRDefault="00DC644B" w:rsidP="00B25FC9">
            <w:pPr>
              <w:pStyle w:val="Paragraphedeliste"/>
              <w:numPr>
                <w:ilvl w:val="0"/>
                <w:numId w:val="22"/>
              </w:numPr>
            </w:pPr>
            <w:r>
              <w:t>1681</w:t>
            </w:r>
          </w:p>
        </w:tc>
      </w:tr>
      <w:tr w:rsidR="00B25FC9" w:rsidTr="00ED06DC">
        <w:tc>
          <w:tcPr>
            <w:tcW w:w="9212" w:type="dxa"/>
            <w:shd w:val="clear" w:color="auto" w:fill="92D050"/>
          </w:tcPr>
          <w:p w:rsidR="00B25FC9" w:rsidRDefault="00B25FC9" w:rsidP="00BA5332">
            <w:pPr>
              <w:jc w:val="center"/>
              <w:rPr>
                <w:b/>
              </w:rPr>
            </w:pPr>
            <w:r>
              <w:rPr>
                <w:b/>
              </w:rPr>
              <w:t>Convention collective</w:t>
            </w:r>
          </w:p>
        </w:tc>
      </w:tr>
      <w:tr w:rsidR="00B25FC9" w:rsidTr="00ED06DC">
        <w:tc>
          <w:tcPr>
            <w:tcW w:w="9212" w:type="dxa"/>
            <w:shd w:val="clear" w:color="auto" w:fill="auto"/>
          </w:tcPr>
          <w:p w:rsidR="00B25FC9" w:rsidRDefault="00B25FC9" w:rsidP="00B25FC9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25FC9">
              <w:rPr>
                <w:sz w:val="24"/>
                <w:szCs w:val="24"/>
              </w:rPr>
              <w:t>Convention collective nationale des cadres des travaux publics</w:t>
            </w:r>
            <w:r>
              <w:rPr>
                <w:sz w:val="24"/>
                <w:szCs w:val="24"/>
              </w:rPr>
              <w:t xml:space="preserve"> (</w:t>
            </w:r>
            <w:r w:rsidRPr="00B25FC9">
              <w:rPr>
                <w:sz w:val="24"/>
                <w:szCs w:val="24"/>
              </w:rPr>
              <w:t>IDCC 3212</w:t>
            </w:r>
            <w:r>
              <w:rPr>
                <w:sz w:val="24"/>
                <w:szCs w:val="24"/>
              </w:rPr>
              <w:t>)</w:t>
            </w:r>
          </w:p>
          <w:p w:rsidR="00B25FC9" w:rsidRPr="00B25FC9" w:rsidRDefault="00B25FC9" w:rsidP="00B25FC9">
            <w:pPr>
              <w:pStyle w:val="Paragraphedeliste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>Activités visées :</w:t>
            </w:r>
          </w:p>
          <w:p w:rsidR="00B25FC9" w:rsidRP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55.10.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– Travaux d'aménagement des terres et des eaux, voirie, parcs et jardins</w:t>
            </w:r>
          </w:p>
          <w:p w:rsidR="00B25FC9" w:rsidRP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55.11. –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Construction de lignes de transports d'électricité</w:t>
            </w:r>
          </w:p>
          <w:p w:rsidR="00B25FC9" w:rsidRP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55.12. –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Travaux d'infrastructure générale</w:t>
            </w:r>
          </w:p>
          <w:p w:rsidR="00B25FC9" w:rsidRP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55.13. –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Construction de chaussées</w:t>
            </w:r>
          </w:p>
          <w:p w:rsidR="00B25FC9" w:rsidRP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>55.20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. Entreprises de forages, sondages, fondations</w:t>
            </w: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spéciales</w:t>
            </w:r>
          </w:p>
          <w:p w:rsidR="00B25FC9" w:rsidRP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55.30. –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Construction d'ossatures autres que métalliques</w:t>
            </w:r>
          </w:p>
          <w:p w:rsidR="00B25FC9" w:rsidRP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55.31. –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Installations industrielles. – Montage. – Levage</w:t>
            </w:r>
          </w:p>
          <w:p w:rsidR="00B25FC9" w:rsidRP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55.40. –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Installation électrique</w:t>
            </w:r>
          </w:p>
          <w:p w:rsidR="00B25FC9" w:rsidRP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55.60. –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Maçonnerie et travaux courants de béton armé</w:t>
            </w:r>
          </w:p>
          <w:p w:rsidR="00B25FC9" w:rsidRDefault="00B25FC9" w:rsidP="00B25FC9">
            <w:pPr>
              <w:pStyle w:val="Paragraphedeliste"/>
              <w:numPr>
                <w:ilvl w:val="1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55.70. – </w:t>
            </w:r>
            <w:r w:rsidRPr="00B25FC9">
              <w:rPr>
                <w:rFonts w:ascii="Times New Roman" w:hAnsi="Times New Roman" w:cs="Times New Roman"/>
                <w:sz w:val="24"/>
                <w:szCs w:val="24"/>
              </w:rPr>
              <w:t>Génie climatique</w:t>
            </w:r>
          </w:p>
          <w:p w:rsidR="00B25FC9" w:rsidRPr="00B25FC9" w:rsidRDefault="00B25FC9" w:rsidP="00B25FC9">
            <w:pPr>
              <w:pStyle w:val="Paragraphedelist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Branche patronale signataire</w:t>
            </w:r>
            <w:r w:rsidR="00691F1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FNTP</w:t>
            </w:r>
          </w:p>
          <w:p w:rsidR="00B25FC9" w:rsidRDefault="00B25FC9" w:rsidP="00BA5332">
            <w:pPr>
              <w:jc w:val="center"/>
              <w:rPr>
                <w:b/>
              </w:rPr>
            </w:pPr>
          </w:p>
        </w:tc>
      </w:tr>
      <w:tr w:rsidR="00B20DA3" w:rsidTr="00ED06DC">
        <w:tc>
          <w:tcPr>
            <w:tcW w:w="9212" w:type="dxa"/>
            <w:shd w:val="clear" w:color="auto" w:fill="92D050"/>
          </w:tcPr>
          <w:p w:rsidR="00B20DA3" w:rsidRDefault="00DA5FB1" w:rsidP="00BA5332">
            <w:pPr>
              <w:jc w:val="center"/>
              <w:rPr>
                <w:b/>
              </w:rPr>
            </w:pPr>
            <w:r>
              <w:rPr>
                <w:b/>
              </w:rPr>
              <w:t>Description de l’activité</w:t>
            </w:r>
            <w:r w:rsidR="00343251">
              <w:rPr>
                <w:rStyle w:val="Appelnotedebasdep"/>
                <w:b/>
              </w:rPr>
              <w:footnoteReference w:id="1"/>
            </w:r>
          </w:p>
        </w:tc>
      </w:tr>
      <w:tr w:rsidR="00B20DA3" w:rsidTr="00ED06DC">
        <w:tc>
          <w:tcPr>
            <w:tcW w:w="9212" w:type="dxa"/>
          </w:tcPr>
          <w:p w:rsidR="00602673" w:rsidRPr="00602673" w:rsidRDefault="00602673" w:rsidP="00602673">
            <w:pPr>
              <w:pStyle w:val="NormalWeb"/>
            </w:pPr>
            <w:r>
              <w:rPr>
                <w:b/>
                <w:bCs/>
              </w:rPr>
              <w:t>Ouvrier exécution TP</w:t>
            </w:r>
            <w:r w:rsidR="004F41A2" w:rsidRPr="004F41A2">
              <w:rPr>
                <w:b/>
                <w:bCs/>
              </w:rPr>
              <w:t xml:space="preserve"> : </w:t>
            </w:r>
            <w:r w:rsidRPr="00602673">
              <w:t>exécute des travaux manuels simples demandant un effort physique et ne nécessitant généralement pas d’expérience antérieure.</w:t>
            </w:r>
          </w:p>
          <w:p w:rsidR="00602673" w:rsidRPr="00602673" w:rsidRDefault="00602673" w:rsidP="0060267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673">
              <w:rPr>
                <w:rFonts w:ascii="Times New Roman" w:hAnsi="Times New Roman" w:cs="Times New Roman"/>
                <w:sz w:val="24"/>
                <w:szCs w:val="24"/>
              </w:rPr>
              <w:t>Terrasse à la pelle, à la pioche (terre, graviers) ou au marteau piqueur (roche, revêtements) pour faire des trous, des fouilles ou des tranchées, pour déblayer ou remblayer.</w:t>
            </w:r>
          </w:p>
          <w:p w:rsidR="00602673" w:rsidRPr="00602673" w:rsidRDefault="00602673" w:rsidP="0060267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673">
              <w:rPr>
                <w:rFonts w:ascii="Times New Roman" w:hAnsi="Times New Roman" w:cs="Times New Roman"/>
                <w:sz w:val="24"/>
                <w:szCs w:val="24"/>
              </w:rPr>
              <w:t>Manutentionne des matériaux (tuyaux, bordures pesant jusqu’à 180 kg, parpaings, regards, dalles…).</w:t>
            </w:r>
          </w:p>
          <w:p w:rsidR="00602673" w:rsidRPr="00602673" w:rsidRDefault="00602673" w:rsidP="0060267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673">
              <w:rPr>
                <w:rFonts w:ascii="Times New Roman" w:hAnsi="Times New Roman" w:cs="Times New Roman"/>
                <w:sz w:val="24"/>
                <w:szCs w:val="24"/>
              </w:rPr>
              <w:t>Prépare et transporte du mortier ou du béton.</w:t>
            </w:r>
          </w:p>
          <w:p w:rsidR="00602673" w:rsidRPr="00602673" w:rsidRDefault="00602673" w:rsidP="0060267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673">
              <w:rPr>
                <w:rFonts w:ascii="Times New Roman" w:hAnsi="Times New Roman" w:cs="Times New Roman"/>
                <w:sz w:val="24"/>
                <w:szCs w:val="24"/>
              </w:rPr>
              <w:t>Transporte au seau ou à la brouette des enrobés / bitumes chauds et/ou les répand à la pelle, au râteau ou au sabot (chantiers routiers)</w:t>
            </w:r>
          </w:p>
          <w:p w:rsidR="00602673" w:rsidRPr="00602673" w:rsidRDefault="00602673" w:rsidP="0060267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673">
              <w:rPr>
                <w:rFonts w:ascii="Times New Roman" w:hAnsi="Times New Roman" w:cs="Times New Roman"/>
                <w:sz w:val="24"/>
                <w:szCs w:val="24"/>
              </w:rPr>
              <w:t>Peut poser des canalisations (fonte, béton), découper les tuyaux et réaliser des chanfreins sur les tronçons obtenus.</w:t>
            </w:r>
          </w:p>
          <w:p w:rsidR="00602673" w:rsidRPr="00602673" w:rsidRDefault="00602673" w:rsidP="0060267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673">
              <w:rPr>
                <w:rFonts w:ascii="Times New Roman" w:hAnsi="Times New Roman" w:cs="Times New Roman"/>
                <w:sz w:val="24"/>
                <w:szCs w:val="24"/>
              </w:rPr>
              <w:t>Peut travailler en bordure de voie circulée, en tranchée, en carrière, en centrale à enrobés, en galerie, en réseaux d’assainissement ou sous couvert végétal.</w:t>
            </w:r>
          </w:p>
          <w:p w:rsidR="00B20DA3" w:rsidRPr="00602673" w:rsidRDefault="00602673" w:rsidP="00C232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673">
              <w:rPr>
                <w:rFonts w:ascii="Times New Roman" w:hAnsi="Times New Roman" w:cs="Times New Roman"/>
                <w:sz w:val="24"/>
                <w:szCs w:val="24"/>
              </w:rPr>
              <w:t>Peut conduire des machines ou des petits engins (rouleau vibrant, dameuse, grignoteuse, scie à enrobés) voire des engins de catégorie 1.</w:t>
            </w:r>
          </w:p>
        </w:tc>
      </w:tr>
      <w:tr w:rsidR="00B20DA3" w:rsidTr="00ED06DC">
        <w:tc>
          <w:tcPr>
            <w:tcW w:w="9212" w:type="dxa"/>
            <w:shd w:val="clear" w:color="auto" w:fill="92D050"/>
          </w:tcPr>
          <w:p w:rsidR="00B20DA3" w:rsidRDefault="00BA5332" w:rsidP="00FA61BD">
            <w:pPr>
              <w:jc w:val="center"/>
              <w:rPr>
                <w:b/>
              </w:rPr>
            </w:pPr>
            <w:r>
              <w:rPr>
                <w:b/>
              </w:rPr>
              <w:t xml:space="preserve">Caractéristiques et exigences </w:t>
            </w:r>
            <w:r w:rsidR="00FA61BD">
              <w:rPr>
                <w:b/>
              </w:rPr>
              <w:t xml:space="preserve">particulières </w:t>
            </w:r>
            <w:r>
              <w:rPr>
                <w:b/>
              </w:rPr>
              <w:t xml:space="preserve">de l’activité </w:t>
            </w:r>
          </w:p>
        </w:tc>
      </w:tr>
      <w:tr w:rsidR="00B20DA3" w:rsidTr="00ED06DC">
        <w:tc>
          <w:tcPr>
            <w:tcW w:w="9212" w:type="dxa"/>
          </w:tcPr>
          <w:p w:rsidR="00B20DA3" w:rsidRPr="00D45D8D" w:rsidRDefault="001E0D51" w:rsidP="00BA5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8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BA5332" w:rsidRPr="00D45D8D">
              <w:rPr>
                <w:rFonts w:ascii="Times New Roman" w:hAnsi="Times New Roman" w:cs="Times New Roman"/>
                <w:b/>
                <w:sz w:val="24"/>
                <w:szCs w:val="24"/>
              </w:rPr>
              <w:t>aractéristiques communes à tous les chantiers du bâtiment </w:t>
            </w:r>
            <w:r w:rsidR="00FA61BD" w:rsidRPr="00D45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des travaux publics </w:t>
            </w:r>
            <w:r w:rsidR="00BA5332" w:rsidRPr="00D45D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A61BD" w:rsidRPr="00D45D8D" w:rsidRDefault="00FA61BD" w:rsidP="004F41A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D8D">
              <w:rPr>
                <w:rFonts w:ascii="Times New Roman" w:hAnsi="Times New Roman" w:cs="Times New Roman"/>
                <w:sz w:val="24"/>
                <w:szCs w:val="24"/>
              </w:rPr>
              <w:t xml:space="preserve">Environnement mouvant, évolutif : les chantiers sont temporaires, se succèdent et sont donc par nature mobiles. Par ailleurs, au sein d’un même chantier, l’environnement est constamment modifié (dans l’heure, la journée, la semaine…), ce </w:t>
            </w:r>
            <w:r w:rsidRPr="00D4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qui limite</w:t>
            </w:r>
            <w:r w:rsidR="00DA35F5" w:rsidRPr="00D45D8D">
              <w:rPr>
                <w:rFonts w:ascii="Times New Roman" w:hAnsi="Times New Roman" w:cs="Times New Roman"/>
                <w:sz w:val="24"/>
                <w:szCs w:val="24"/>
              </w:rPr>
              <w:t xml:space="preserve"> la prise de repères stables </w:t>
            </w:r>
          </w:p>
          <w:p w:rsidR="00FA61BD" w:rsidRPr="00D45D8D" w:rsidRDefault="00FA61BD" w:rsidP="004F41A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D8D">
              <w:rPr>
                <w:rFonts w:ascii="Times New Roman" w:hAnsi="Times New Roman" w:cs="Times New Roman"/>
                <w:sz w:val="24"/>
                <w:szCs w:val="24"/>
              </w:rPr>
              <w:t>Exposition aux intempéries</w:t>
            </w:r>
            <w:r w:rsidR="00C232DD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C232DD" w:rsidRPr="004F41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</w:t>
            </w:r>
            <w:r w:rsidR="00C232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nt, humidité, brouillard, neige</w:t>
            </w:r>
          </w:p>
          <w:p w:rsidR="00FA61BD" w:rsidRPr="00D45D8D" w:rsidRDefault="00FA61BD" w:rsidP="004F41A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8D">
              <w:rPr>
                <w:rFonts w:ascii="Times New Roman" w:hAnsi="Times New Roman" w:cs="Times New Roman"/>
                <w:sz w:val="24"/>
                <w:szCs w:val="24"/>
              </w:rPr>
              <w:t>Coactivité</w:t>
            </w:r>
            <w:proofErr w:type="spellEnd"/>
            <w:r w:rsidR="00DA35F5" w:rsidRPr="00D4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D8D">
              <w:rPr>
                <w:rFonts w:ascii="Times New Roman" w:hAnsi="Times New Roman" w:cs="Times New Roman"/>
                <w:sz w:val="24"/>
                <w:szCs w:val="24"/>
              </w:rPr>
              <w:t>imprévu</w:t>
            </w:r>
            <w:r w:rsidR="00DA35F5" w:rsidRPr="00D45D8D">
              <w:rPr>
                <w:rFonts w:ascii="Times New Roman" w:hAnsi="Times New Roman" w:cs="Times New Roman"/>
                <w:sz w:val="24"/>
                <w:szCs w:val="24"/>
              </w:rPr>
              <w:t xml:space="preserve">e : malgré les évolutions en matière de coordination, le déroulement d’un chantier est soumis à de nombreux aléas et conduit à de fréquentes situation de </w:t>
            </w:r>
            <w:proofErr w:type="spellStart"/>
            <w:r w:rsidR="00DA35F5" w:rsidRPr="00D45D8D">
              <w:rPr>
                <w:rFonts w:ascii="Times New Roman" w:hAnsi="Times New Roman" w:cs="Times New Roman"/>
                <w:sz w:val="24"/>
                <w:szCs w:val="24"/>
              </w:rPr>
              <w:t>coactivité</w:t>
            </w:r>
            <w:proofErr w:type="spellEnd"/>
            <w:r w:rsidR="00DA35F5" w:rsidRPr="00D45D8D">
              <w:rPr>
                <w:rFonts w:ascii="Times New Roman" w:hAnsi="Times New Roman" w:cs="Times New Roman"/>
                <w:sz w:val="24"/>
                <w:szCs w:val="24"/>
              </w:rPr>
              <w:t xml:space="preserve"> de salariés/</w:t>
            </w:r>
            <w:r w:rsidR="00DA5FB1" w:rsidRPr="00D45D8D">
              <w:rPr>
                <w:rFonts w:ascii="Times New Roman" w:hAnsi="Times New Roman" w:cs="Times New Roman"/>
                <w:sz w:val="24"/>
                <w:szCs w:val="24"/>
              </w:rPr>
              <w:t>sous-traitants</w:t>
            </w:r>
            <w:r w:rsidR="00DA35F5" w:rsidRPr="00D45D8D">
              <w:rPr>
                <w:rFonts w:ascii="Times New Roman" w:hAnsi="Times New Roman" w:cs="Times New Roman"/>
                <w:sz w:val="24"/>
                <w:szCs w:val="24"/>
              </w:rPr>
              <w:t>/ travailleurs indépendants</w:t>
            </w:r>
            <w:r w:rsidR="00DA5FB1" w:rsidRPr="00D45D8D">
              <w:rPr>
                <w:rFonts w:ascii="Times New Roman" w:hAnsi="Times New Roman" w:cs="Times New Roman"/>
                <w:sz w:val="24"/>
                <w:szCs w:val="24"/>
              </w:rPr>
              <w:t>/ intérimaires…</w:t>
            </w:r>
            <w:r w:rsidR="00DA35F5" w:rsidRPr="00D45D8D">
              <w:rPr>
                <w:rFonts w:ascii="Times New Roman" w:hAnsi="Times New Roman" w:cs="Times New Roman"/>
                <w:sz w:val="24"/>
                <w:szCs w:val="24"/>
              </w:rPr>
              <w:t xml:space="preserve"> d’entreprises différentes  </w:t>
            </w:r>
          </w:p>
          <w:p w:rsidR="00FA61BD" w:rsidRPr="00D45D8D" w:rsidRDefault="00FA61BD" w:rsidP="004F41A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8D">
              <w:rPr>
                <w:rFonts w:ascii="Times New Roman" w:hAnsi="Times New Roman" w:cs="Times New Roman"/>
                <w:sz w:val="24"/>
                <w:szCs w:val="24"/>
              </w:rPr>
              <w:t>Polyvalence</w:t>
            </w:r>
            <w:r w:rsidR="00DA5FB1" w:rsidRPr="00D45D8D">
              <w:rPr>
                <w:rFonts w:ascii="Times New Roman" w:hAnsi="Times New Roman" w:cs="Times New Roman"/>
                <w:sz w:val="24"/>
                <w:szCs w:val="24"/>
              </w:rPr>
              <w:t> : compte tenu de la taille des équipes et en corolaire de la nécessaire gestion des aléas précités.</w:t>
            </w:r>
          </w:p>
          <w:p w:rsidR="00CB4669" w:rsidRPr="00D45D8D" w:rsidRDefault="00CB4669" w:rsidP="001E0D51">
            <w:pPr>
              <w:rPr>
                <w:rFonts w:ascii="Times New Roman" w:hAnsi="Times New Roman" w:cs="Times New Roman"/>
              </w:rPr>
            </w:pPr>
          </w:p>
          <w:p w:rsidR="004F41A2" w:rsidRPr="004F41A2" w:rsidRDefault="001E0D51" w:rsidP="004F41A2">
            <w:pPr>
              <w:rPr>
                <w:b/>
              </w:rPr>
            </w:pPr>
            <w:r w:rsidRPr="001E0D51">
              <w:rPr>
                <w:b/>
              </w:rPr>
              <w:t>Exigences propres à l’emploi</w:t>
            </w:r>
            <w:r>
              <w:rPr>
                <w:b/>
              </w:rPr>
              <w:t>: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Contrainte physique : forte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Contrainte posturale : toutes positions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Mobilité physique : dénivellation, terrain accidenté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Multiplicité Lieux Travail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 EPI indispensable: chaussures de sécurité, gants, lunettes, casque, PICB...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Travail Proximité Voies Circulées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Travail en Equipe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Travail en espace restreint : égouts, fouilles, canalisations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Travail Pour Entreprise Utilisatrice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Travail Galerie/Tunnel</w:t>
            </w:r>
          </w:p>
          <w:p w:rsidR="00602673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Conduite: petits engins (rouleau vibrant, dameuse, grignoteuse, scie à enrobés)</w:t>
            </w:r>
          </w:p>
          <w:p w:rsidR="00BA5332" w:rsidRPr="00602673" w:rsidRDefault="00602673" w:rsidP="0060267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Esprit Sécurité</w:t>
            </w:r>
          </w:p>
        </w:tc>
      </w:tr>
      <w:tr w:rsidR="00BA5332" w:rsidTr="00ED06DC">
        <w:tc>
          <w:tcPr>
            <w:tcW w:w="9212" w:type="dxa"/>
            <w:shd w:val="clear" w:color="auto" w:fill="92D050"/>
          </w:tcPr>
          <w:p w:rsidR="00BA5332" w:rsidRDefault="00BA5332" w:rsidP="00691F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Aptitudes et </w:t>
            </w:r>
            <w:r w:rsidR="00337C34" w:rsidRPr="00337C34">
              <w:rPr>
                <w:b/>
              </w:rPr>
              <w:t xml:space="preserve">contre-indications </w:t>
            </w:r>
            <w:bookmarkStart w:id="0" w:name="_GoBack"/>
            <w:bookmarkEnd w:id="0"/>
            <w:r>
              <w:rPr>
                <w:b/>
              </w:rPr>
              <w:t xml:space="preserve">médicales </w:t>
            </w:r>
          </w:p>
        </w:tc>
      </w:tr>
      <w:tr w:rsidR="000D423F" w:rsidTr="00ED06DC">
        <w:tc>
          <w:tcPr>
            <w:tcW w:w="9212" w:type="dxa"/>
            <w:shd w:val="clear" w:color="auto" w:fill="auto"/>
          </w:tcPr>
          <w:p w:rsidR="000D423F" w:rsidRPr="00BF584A" w:rsidRDefault="006B016F" w:rsidP="001F24E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d’exigence légale particulière (droit commun du code du travail en matière d’aptitude et suivi médical)</w:t>
            </w:r>
          </w:p>
        </w:tc>
      </w:tr>
      <w:tr w:rsidR="000D423F" w:rsidTr="00ED06DC">
        <w:tc>
          <w:tcPr>
            <w:tcW w:w="9212" w:type="dxa"/>
            <w:shd w:val="clear" w:color="auto" w:fill="92D050"/>
          </w:tcPr>
          <w:p w:rsidR="000D423F" w:rsidRDefault="00216F48" w:rsidP="00216F48">
            <w:pPr>
              <w:tabs>
                <w:tab w:val="left" w:pos="3100"/>
              </w:tabs>
              <w:jc w:val="center"/>
              <w:rPr>
                <w:b/>
              </w:rPr>
            </w:pPr>
            <w:r>
              <w:rPr>
                <w:b/>
              </w:rPr>
              <w:t>Principaux r</w:t>
            </w:r>
            <w:r w:rsidR="00123D60">
              <w:rPr>
                <w:b/>
              </w:rPr>
              <w:t>isques professionnels</w:t>
            </w:r>
            <w:r w:rsidR="00691F1E">
              <w:rPr>
                <w:b/>
              </w:rPr>
              <w:t xml:space="preserve"> (contraintes, nuisances)</w:t>
            </w:r>
          </w:p>
        </w:tc>
      </w:tr>
      <w:tr w:rsidR="00BA5332" w:rsidTr="00ED06DC">
        <w:tc>
          <w:tcPr>
            <w:tcW w:w="9212" w:type="dxa"/>
          </w:tcPr>
          <w:p w:rsidR="004F41A2" w:rsidRPr="004F41A2" w:rsidRDefault="004F41A2" w:rsidP="004F41A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F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Accident du travail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Agression par agent chimique : contact, projection (ciments, enrobés), inhalation (H2S)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Agression par agent thermique : chaleur (enrobé)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Emploi d'outil à main/matériau tranchant/contondant : masse, pioche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 manuel de charge : matériau, matériel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Chute de plain-pied : terrain accidenté, talus, dénivellation, surface glissante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Renversement par engin/véhicule : voie circulée, chantier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Eboulement/effondrement : fouille, terrain, galerie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Chute Objet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Contact avec animal/rongeur/insecte: morsure, piqûre et souillure par déjection animale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Déplacement en ouvrage étroit : heurt structure, égout, fouille, canalisations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Projection particulaire : corps étranger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Contact avec conducteur sous tension : ligne électrique souterraine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Emploi machine dangereuse : mobile (scie à enrobés, dameuse), portative (marteau piqueur, meuleuse, tronçonneuse)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Contact avec agent biologique (tétanos, leptospirose...)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Emploi d'appareil </w:t>
            </w:r>
            <w:proofErr w:type="gramStart"/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</w:t>
            </w:r>
            <w:proofErr w:type="gramEnd"/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pression : fouettement, rupture flexible</w:t>
            </w:r>
          </w:p>
          <w:p w:rsidR="00602673" w:rsidRPr="00602673" w:rsidRDefault="00602673" w:rsidP="0060267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Travail milieu aquatique ou à proximité : noyade</w:t>
            </w:r>
          </w:p>
          <w:p w:rsidR="004F41A2" w:rsidRPr="004F41A2" w:rsidRDefault="004F41A2" w:rsidP="004F41A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F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Nuisances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Manutention manuelle de charges 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Bruit 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Hypersollicitation</w:t>
            </w:r>
            <w:proofErr w:type="spellEnd"/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membres TMS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Poussière ciment 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Goudron/brai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Poussière minérale : silice libre cristalline 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Bitume enrobé 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Poussière fibre minérale naturelle : amiante 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Gaz de combustion/échappement : CO, NO2, SO2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Agents biologiques : tétanos, leptospirose (égouts), borréliose de Lyme (couvert végétal), hépatite A, poliomyélite 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Carburants : fuel, essence, gasoil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Rayonnement non ionisant: rayonnement optique naturel (soleil)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Vibrations main-bras </w:t>
            </w:r>
          </w:p>
          <w:p w:rsidR="00602673" w:rsidRPr="00602673" w:rsidRDefault="00602673" w:rsidP="0060267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Vibrations corps entier </w:t>
            </w:r>
          </w:p>
          <w:p w:rsidR="004F41A2" w:rsidRPr="004F41A2" w:rsidRDefault="004F41A2" w:rsidP="004F41A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4F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Maladies</w:t>
            </w:r>
            <w:r w:rsidRPr="004F41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Pr="004F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professionnelles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Affections causées par les ciments : dermite eczématiforme, blépharite, conjonctivite [8] 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Affections péri articulaires provoquées par certains gestes et postures de travail [57] 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Affections chroniques du rachis lombaire provoquées par la manutention manuelle de charges lourdes [98] 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Atteinte auditive provoquée par les bruits lésionnels [42] 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Affections professionnelles consécutives à l’inhalation de poussières d’amiante [30] 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Cancer broncho-pulmonaire provoqué par l'inhalation de poussières d'amiante [30bis] 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Affections consécutives à l’inhalation de poussières minérales renfermant de la silice cristalline, des silicates cristallins, du graphite ou de la houille [25] 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Lésions chroniques du ménisque à caractère dégénératif [79] 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Périonyxis</w:t>
            </w:r>
            <w:proofErr w:type="spellEnd"/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onyxis : atteinte des doigts et des orteils [77] </w:t>
            </w:r>
          </w:p>
          <w:p w:rsidR="00602673" w:rsidRPr="00602673" w:rsidRDefault="00602673" w:rsidP="0060267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Spirochétoses : leptospirose [19A] ; borréliose de Lyme [19B</w:t>
            </w:r>
            <w:r w:rsidR="001F0331" w:rsidRPr="006026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]</w:t>
            </w:r>
          </w:p>
          <w:p w:rsidR="00BA5332" w:rsidRDefault="00BA5332" w:rsidP="00624936">
            <w:pPr>
              <w:rPr>
                <w:b/>
              </w:rPr>
            </w:pPr>
          </w:p>
        </w:tc>
      </w:tr>
      <w:tr w:rsidR="00E539B8" w:rsidTr="00ED06DC">
        <w:tc>
          <w:tcPr>
            <w:tcW w:w="9212" w:type="dxa"/>
            <w:shd w:val="clear" w:color="auto" w:fill="92D050"/>
          </w:tcPr>
          <w:p w:rsidR="00E539B8" w:rsidRDefault="00E539B8" w:rsidP="00E539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Prévention</w:t>
            </w:r>
            <w:r w:rsidR="00BF584A">
              <w:rPr>
                <w:b/>
              </w:rPr>
              <w:t xml:space="preserve"> (recommandations, guides…)</w:t>
            </w:r>
            <w:r w:rsidR="00095E85">
              <w:rPr>
                <w:rStyle w:val="Appelnotedebasdep"/>
                <w:b/>
              </w:rPr>
              <w:footnoteReference w:id="2"/>
            </w:r>
          </w:p>
        </w:tc>
      </w:tr>
      <w:tr w:rsidR="00BF584A" w:rsidTr="00ED06DC">
        <w:tc>
          <w:tcPr>
            <w:tcW w:w="9212" w:type="dxa"/>
            <w:shd w:val="clear" w:color="auto" w:fill="auto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1844"/>
              <w:gridCol w:w="3598"/>
            </w:tblGrid>
            <w:tr w:rsidR="00ED06DC" w:rsidRPr="007C3050" w:rsidTr="00ED06DC">
              <w:trPr>
                <w:trHeight w:val="6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Fumées de bitume. 5 conseils pour se protéger. A destination des chantiers de construction routière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2018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9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http://www.inrs.fr/media.html?refINRS=ED%206301</w:t>
                    </w:r>
                  </w:hyperlink>
                </w:p>
              </w:tc>
            </w:tr>
            <w:tr w:rsidR="00ED06DC" w:rsidRPr="007C3050" w:rsidTr="00ED06DC">
              <w:trPr>
                <w:trHeight w:val="6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Fumées de bitume. 7 conseils pour améliorer la protection des travailleurs. A destination des entreprises de construction routière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2018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0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http://www.inrs.fr/media.html?refINRS=ED%206300</w:t>
                    </w:r>
                  </w:hyperlink>
                </w:p>
              </w:tc>
            </w:tr>
            <w:tr w:rsidR="00ED06DC" w:rsidRPr="007C3050" w:rsidTr="00ED06DC">
              <w:trPr>
                <w:trHeight w:val="3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Dossier. Travaux de revêtement routier : de multiples risques à prendre en compte. 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1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http://www.inrs.fr/media.html?refINRS=DO%2019</w:t>
                    </w:r>
                  </w:hyperlink>
                </w:p>
              </w:tc>
            </w:tr>
            <w:tr w:rsidR="00ED06DC" w:rsidRPr="007C3050" w:rsidTr="00ED06DC">
              <w:trPr>
                <w:trHeight w:val="3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Canalisateur. Fiche métier amiante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2016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2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</w:t>
                    </w:r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lastRenderedPageBreak/>
                      <w:t>S=ED%204272</w:t>
                    </w:r>
                  </w:hyperlink>
                </w:p>
              </w:tc>
            </w:tr>
            <w:tr w:rsidR="00ED06DC" w:rsidRPr="007C3050" w:rsidTr="00ED06DC">
              <w:trPr>
                <w:trHeight w:val="6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lastRenderedPageBreak/>
                    <w:t>Prise en charge en santé au travail des travailleurs intervenant en conditions hyperbares. Recommandations de bonne pratique. Fiche de synthèse. Pratiques et métiers TM 38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2016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3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http://www.rst-sante-travail.fr/rst/pages-article/ArticleRST.html?ref=RST.TM%2038</w:t>
                    </w:r>
                  </w:hyperlink>
                </w:p>
              </w:tc>
            </w:tr>
            <w:tr w:rsidR="00ED06DC" w:rsidRPr="007C3050" w:rsidTr="00ED06DC">
              <w:trPr>
                <w:trHeight w:val="3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Engins de terrassement : une meilleure visibilité en vue. 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4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http://www.inrs.fr/media.html?refINRS=NO%209</w:t>
                    </w:r>
                  </w:hyperlink>
                </w:p>
              </w:tc>
            </w:tr>
            <w:tr w:rsidR="00ED06DC" w:rsidRPr="007C3050" w:rsidTr="00ED06DC">
              <w:trPr>
                <w:trHeight w:val="3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Pose de revêtements routiers. Fiche d'aide au repérage FAR 30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5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http://www.inrs.fr/media.html?refINRS=FAR%2030</w:t>
                    </w:r>
                  </w:hyperlink>
                </w:p>
              </w:tc>
            </w:tr>
            <w:tr w:rsidR="00ED06DC" w:rsidRPr="007C3050" w:rsidTr="00ED06DC">
              <w:trPr>
                <w:trHeight w:val="6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Mise en </w:t>
                  </w:r>
                  <w:proofErr w:type="spellStart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oeuvre</w:t>
                  </w:r>
                  <w:proofErr w:type="spellEnd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du dispositif CATEC : certificat d'aptitude à travailler en espaces confinés dans le domaine de l'eau potable et de l'assainissement. R 472 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2012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6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https://www.ameli.fr/sites/default/files/Documents/31336/document/r472.pdf</w:t>
                    </w:r>
                  </w:hyperlink>
                </w:p>
              </w:tc>
            </w:tr>
            <w:tr w:rsidR="00ED06DC" w:rsidRPr="007C3050" w:rsidTr="00ED06DC">
              <w:trPr>
                <w:trHeight w:val="3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Tombereaux. Manuel de sécurité. 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2010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7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http://www.inrs.fr/media.html?refINRS=ED%206065</w:t>
                    </w:r>
                  </w:hyperlink>
                </w:p>
              </w:tc>
            </w:tr>
            <w:tr w:rsidR="00ED06DC" w:rsidRPr="007C3050" w:rsidTr="00ED06DC">
              <w:trPr>
                <w:trHeight w:val="3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Chargeuses-pelleteuses. Manuel de sécurité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2009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8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http://www.inrs.fr/media.html?refINRS=ED%20903</w:t>
                    </w:r>
                  </w:hyperlink>
                </w:p>
              </w:tc>
            </w:tr>
            <w:tr w:rsidR="00ED06DC" w:rsidRPr="007C3050" w:rsidTr="00ED06DC">
              <w:trPr>
                <w:trHeight w:val="799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Dossier. Métiers de l'eau et de l'assainissement. Voir clair en eaux troubles. Voir  Travail et </w:t>
                  </w:r>
                  <w:proofErr w:type="gramStart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sécurité ,</w:t>
                  </w:r>
                  <w:proofErr w:type="gramEnd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n° 682, mars 2008, p. 18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2008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Document disponible auprès de l'INRS</w:t>
                  </w:r>
                </w:p>
              </w:tc>
            </w:tr>
            <w:tr w:rsidR="00ED06DC" w:rsidRPr="007C3050" w:rsidTr="00ED06DC">
              <w:trPr>
                <w:trHeight w:val="315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Chargeuses. Manuel de sécurité. 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2003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B52ED0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9" w:history="1">
                    <w:r w:rsidR="00ED06DC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http://www.inrs.fr/media.html?refINRS=ED%20910</w:t>
                    </w:r>
                  </w:hyperlink>
                </w:p>
              </w:tc>
            </w:tr>
            <w:tr w:rsidR="00ED06DC" w:rsidRPr="007C3050" w:rsidTr="00650982">
              <w:trPr>
                <w:trHeight w:val="799"/>
              </w:trPr>
              <w:tc>
                <w:tcPr>
                  <w:tcW w:w="197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Les accidents du travail dus au matériel et engins de terrassement et travaux connexes. Travail et </w:t>
                  </w:r>
                  <w:proofErr w:type="gramStart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sécurité ,</w:t>
                  </w:r>
                  <w:proofErr w:type="gramEnd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n° 612, novembre 2001, p. 13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2001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ED06DC" w:rsidRPr="007C3050" w:rsidRDefault="00ED06DC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 </w:t>
                  </w:r>
                </w:p>
              </w:tc>
            </w:tr>
            <w:tr w:rsidR="00650982" w:rsidRPr="00650982" w:rsidTr="00650982">
              <w:trPr>
                <w:trHeight w:val="799"/>
              </w:trPr>
              <w:tc>
                <w:tcPr>
                  <w:tcW w:w="197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Default="00650982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  <w:p w:rsidR="00650982" w:rsidRPr="00650982" w:rsidRDefault="00650982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  <w:t>Sources OPPBTP :</w:t>
                  </w:r>
                </w:p>
                <w:p w:rsidR="00650982" w:rsidRPr="00650982" w:rsidRDefault="00650982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Prévention sur les chantiers de terrassement (Réf D1 G01 16)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B52ED0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0" w:history="1">
                    <w:proofErr w:type="spellStart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Prevention</w:t>
                    </w:r>
                    <w:proofErr w:type="spellEnd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-sur-les-chantiers-de-terrassement</w:t>
                    </w:r>
                  </w:hyperlink>
                </w:p>
              </w:tc>
            </w:tr>
            <w:tr w:rsidR="00650982" w:rsidRPr="00650982" w:rsidTr="00650982">
              <w:trPr>
                <w:trHeight w:val="799"/>
              </w:trPr>
              <w:tc>
                <w:tcPr>
                  <w:tcW w:w="197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Travaux en égouts (Réf D4 F03 10)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B52ED0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1" w:history="1"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Travaux-en-</w:t>
                    </w:r>
                    <w:proofErr w:type="spellStart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egouts</w:t>
                    </w:r>
                    <w:proofErr w:type="spellEnd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-</w:t>
                    </w:r>
                    <w:proofErr w:type="spellStart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Hygiene</w:t>
                    </w:r>
                    <w:proofErr w:type="spellEnd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-et-</w:t>
                    </w:r>
                    <w:proofErr w:type="spellStart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securite</w:t>
                    </w:r>
                    <w:proofErr w:type="spellEnd"/>
                  </w:hyperlink>
                </w:p>
              </w:tc>
            </w:tr>
            <w:tr w:rsidR="00650982" w:rsidRPr="00650982" w:rsidTr="00650982">
              <w:trPr>
                <w:trHeight w:val="799"/>
              </w:trPr>
              <w:tc>
                <w:tcPr>
                  <w:tcW w:w="197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Travaux en sous-œuvre (Réf D2 F01 09)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B52ED0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2" w:history="1"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Terrassements-en-sous-</w:t>
                    </w:r>
                    <w:proofErr w:type="spellStart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oeuvre</w:t>
                    </w:r>
                    <w:proofErr w:type="spellEnd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-et-fondations</w:t>
                    </w:r>
                  </w:hyperlink>
                </w:p>
              </w:tc>
            </w:tr>
            <w:tr w:rsidR="00650982" w:rsidRPr="00650982" w:rsidTr="00650982">
              <w:trPr>
                <w:trHeight w:val="799"/>
              </w:trPr>
              <w:tc>
                <w:tcPr>
                  <w:tcW w:w="197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Fiche accueil canalisateurs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B52ED0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3" w:history="1"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Fiche-accueil-TP-Canalisation2</w:t>
                    </w:r>
                  </w:hyperlink>
                </w:p>
              </w:tc>
            </w:tr>
            <w:tr w:rsidR="00650982" w:rsidRPr="00650982" w:rsidTr="00650982">
              <w:trPr>
                <w:trHeight w:val="799"/>
              </w:trPr>
              <w:tc>
                <w:tcPr>
                  <w:tcW w:w="197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Conditions de travail dans les vides sanitaires (Réf I2 F02 12)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B52ED0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4" w:history="1"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Conditions-de-travail-dans-les-vides-sanitaires</w:t>
                    </w:r>
                  </w:hyperlink>
                </w:p>
              </w:tc>
            </w:tr>
            <w:tr w:rsidR="00650982" w:rsidRPr="00650982" w:rsidTr="00650982">
              <w:trPr>
                <w:trHeight w:val="799"/>
              </w:trPr>
              <w:tc>
                <w:tcPr>
                  <w:tcW w:w="197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Coulage de </w:t>
                  </w:r>
                  <w:proofErr w:type="gramStart"/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massifs béton</w:t>
                  </w:r>
                  <w:proofErr w:type="gramEnd"/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pour caténaires (Réf D6 F05 14)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650982" w:rsidP="006509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50982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650982" w:rsidRPr="00650982" w:rsidRDefault="00B52ED0" w:rsidP="006509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5" w:history="1"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Massifs-en-</w:t>
                    </w:r>
                    <w:proofErr w:type="spellStart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beton</w:t>
                    </w:r>
                    <w:proofErr w:type="spellEnd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-pour-</w:t>
                    </w:r>
                    <w:proofErr w:type="spellStart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catenaire</w:t>
                    </w:r>
                    <w:proofErr w:type="spellEnd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-Coulage-du-</w:t>
                    </w:r>
                    <w:proofErr w:type="spellStart"/>
                    <w:r w:rsidR="00650982" w:rsidRPr="00650982">
                      <w:rPr>
                        <w:rStyle w:val="Lienhypertexte"/>
                        <w:rFonts w:ascii="Calibri" w:eastAsia="Times New Roman" w:hAnsi="Calibri" w:cs="Times New Roman"/>
                        <w:lang w:eastAsia="fr-FR"/>
                      </w:rPr>
                      <w:t>beton</w:t>
                    </w:r>
                    <w:proofErr w:type="spellEnd"/>
                  </w:hyperlink>
                </w:p>
              </w:tc>
            </w:tr>
            <w:tr w:rsidR="00650982" w:rsidRPr="007C3050" w:rsidTr="00ED06DC">
              <w:trPr>
                <w:trHeight w:val="799"/>
              </w:trPr>
              <w:tc>
                <w:tcPr>
                  <w:tcW w:w="197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</w:tcPr>
                <w:p w:rsidR="00650982" w:rsidRPr="007C3050" w:rsidRDefault="0065098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</w:tcPr>
                <w:p w:rsidR="00650982" w:rsidRPr="007C3050" w:rsidRDefault="00650982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</w:tcPr>
                <w:p w:rsidR="00650982" w:rsidRPr="007C3050" w:rsidRDefault="0065098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</w:p>
              </w:tc>
            </w:tr>
          </w:tbl>
          <w:p w:rsidR="00BF584A" w:rsidRDefault="00BF584A" w:rsidP="00BF584A">
            <w:pPr>
              <w:jc w:val="center"/>
              <w:rPr>
                <w:b/>
              </w:rPr>
            </w:pPr>
          </w:p>
        </w:tc>
      </w:tr>
      <w:tr w:rsidR="00BA5332" w:rsidTr="00ED06DC">
        <w:tc>
          <w:tcPr>
            <w:tcW w:w="9212" w:type="dxa"/>
            <w:shd w:val="clear" w:color="auto" w:fill="92D050"/>
          </w:tcPr>
          <w:p w:rsidR="00BA5332" w:rsidRDefault="00BA5332" w:rsidP="00BA53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Aménagements envisageables (en fonction du handicap/faisabilité…)</w:t>
            </w:r>
            <w:r w:rsidR="00095E85">
              <w:rPr>
                <w:rStyle w:val="Appelnotedebasdep"/>
                <w:b/>
              </w:rPr>
              <w:footnoteReference w:id="3"/>
            </w:r>
          </w:p>
        </w:tc>
      </w:tr>
      <w:tr w:rsidR="00BA5332" w:rsidTr="00ED06DC">
        <w:tc>
          <w:tcPr>
            <w:tcW w:w="9212" w:type="dxa"/>
          </w:tcPr>
          <w:p w:rsidR="00BA5332" w:rsidRDefault="001B26B6" w:rsidP="00624936">
            <w:pPr>
              <w:rPr>
                <w:b/>
              </w:rPr>
            </w:pPr>
            <w:r>
              <w:rPr>
                <w:b/>
              </w:rPr>
              <w:t>Moteur</w:t>
            </w:r>
            <w:r w:rsidR="001C17BB">
              <w:rPr>
                <w:b/>
              </w:rPr>
              <w:t> :</w:t>
            </w:r>
          </w:p>
          <w:p w:rsidR="00095E85" w:rsidRDefault="00095E85" w:rsidP="00624936">
            <w:pPr>
              <w:rPr>
                <w:b/>
              </w:rPr>
            </w:pPr>
          </w:p>
          <w:p w:rsidR="001B26B6" w:rsidRDefault="001B26B6" w:rsidP="00624936">
            <w:pPr>
              <w:rPr>
                <w:b/>
              </w:rPr>
            </w:pPr>
            <w:r>
              <w:rPr>
                <w:b/>
              </w:rPr>
              <w:t>Sensoriel</w:t>
            </w:r>
            <w:r w:rsidR="001C17BB">
              <w:rPr>
                <w:b/>
              </w:rPr>
              <w:t> :</w:t>
            </w:r>
          </w:p>
          <w:p w:rsidR="00095E85" w:rsidRDefault="00095E85" w:rsidP="00624936">
            <w:pPr>
              <w:rPr>
                <w:b/>
              </w:rPr>
            </w:pPr>
          </w:p>
          <w:p w:rsidR="001B26B6" w:rsidRDefault="001C17BB" w:rsidP="00624936">
            <w:pPr>
              <w:rPr>
                <w:b/>
              </w:rPr>
            </w:pPr>
            <w:r>
              <w:rPr>
                <w:b/>
              </w:rPr>
              <w:t>Mental :</w:t>
            </w:r>
          </w:p>
          <w:p w:rsidR="00095E85" w:rsidRDefault="00095E85" w:rsidP="00624936">
            <w:pPr>
              <w:rPr>
                <w:b/>
              </w:rPr>
            </w:pPr>
          </w:p>
          <w:p w:rsidR="001C17BB" w:rsidRDefault="001C17BB" w:rsidP="00624936">
            <w:pPr>
              <w:rPr>
                <w:b/>
              </w:rPr>
            </w:pPr>
            <w:r>
              <w:rPr>
                <w:b/>
              </w:rPr>
              <w:t>Psychique :</w:t>
            </w:r>
          </w:p>
          <w:p w:rsidR="00095E85" w:rsidRDefault="00095E85" w:rsidP="00624936">
            <w:pPr>
              <w:rPr>
                <w:b/>
              </w:rPr>
            </w:pPr>
          </w:p>
        </w:tc>
      </w:tr>
    </w:tbl>
    <w:p w:rsidR="00624936" w:rsidRDefault="00624936" w:rsidP="00624936">
      <w:pPr>
        <w:rPr>
          <w:b/>
        </w:rPr>
      </w:pPr>
    </w:p>
    <w:p w:rsidR="00624936" w:rsidRDefault="00624936" w:rsidP="00624936">
      <w:pPr>
        <w:rPr>
          <w:b/>
        </w:rPr>
      </w:pPr>
    </w:p>
    <w:p w:rsidR="00624936" w:rsidRDefault="00624936" w:rsidP="00624936">
      <w:pPr>
        <w:rPr>
          <w:b/>
        </w:rPr>
      </w:pPr>
    </w:p>
    <w:p w:rsidR="00624936" w:rsidRDefault="00624936" w:rsidP="00141799">
      <w:pPr>
        <w:jc w:val="center"/>
        <w:rPr>
          <w:b/>
        </w:rPr>
      </w:pPr>
    </w:p>
    <w:p w:rsidR="00136E73" w:rsidRDefault="00136E73" w:rsidP="00624936">
      <w:pPr>
        <w:rPr>
          <w:b/>
        </w:rPr>
      </w:pPr>
    </w:p>
    <w:p w:rsidR="00136E73" w:rsidRPr="00141799" w:rsidRDefault="00136E73" w:rsidP="00141799">
      <w:pPr>
        <w:jc w:val="center"/>
        <w:rPr>
          <w:b/>
          <w:sz w:val="28"/>
          <w:szCs w:val="28"/>
        </w:rPr>
      </w:pPr>
      <w:r w:rsidRPr="00141799">
        <w:rPr>
          <w:b/>
          <w:sz w:val="28"/>
          <w:szCs w:val="28"/>
        </w:rPr>
        <w:t>Synthèse</w:t>
      </w:r>
    </w:p>
    <w:p w:rsidR="00136E73" w:rsidRPr="00624936" w:rsidRDefault="00141799" w:rsidP="00624936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79254031" wp14:editId="7D8DD656">
            <wp:extent cx="5760720" cy="348362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E73" w:rsidRPr="0062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D0" w:rsidRDefault="00B52ED0" w:rsidP="00343251">
      <w:pPr>
        <w:spacing w:after="0" w:line="240" w:lineRule="auto"/>
      </w:pPr>
      <w:r>
        <w:separator/>
      </w:r>
    </w:p>
  </w:endnote>
  <w:endnote w:type="continuationSeparator" w:id="0">
    <w:p w:rsidR="00B52ED0" w:rsidRDefault="00B52ED0" w:rsidP="0034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D0" w:rsidRDefault="00B52ED0" w:rsidP="00343251">
      <w:pPr>
        <w:spacing w:after="0" w:line="240" w:lineRule="auto"/>
      </w:pPr>
      <w:r>
        <w:separator/>
      </w:r>
    </w:p>
  </w:footnote>
  <w:footnote w:type="continuationSeparator" w:id="0">
    <w:p w:rsidR="00B52ED0" w:rsidRDefault="00B52ED0" w:rsidP="00343251">
      <w:pPr>
        <w:spacing w:after="0" w:line="240" w:lineRule="auto"/>
      </w:pPr>
      <w:r>
        <w:continuationSeparator/>
      </w:r>
    </w:p>
  </w:footnote>
  <w:footnote w:id="1">
    <w:p w:rsidR="00E539B8" w:rsidRDefault="00E539B8">
      <w:pPr>
        <w:pStyle w:val="Notedebasdepage"/>
      </w:pPr>
      <w:r>
        <w:rPr>
          <w:rStyle w:val="Appelnotedebasdep"/>
        </w:rPr>
        <w:footnoteRef/>
      </w:r>
      <w:r>
        <w:t xml:space="preserve"> Source : </w:t>
      </w:r>
      <w:r w:rsidRPr="00343251">
        <w:t>Fiche</w:t>
      </w:r>
      <w:r w:rsidR="004720AD">
        <w:t>s</w:t>
      </w:r>
      <w:r w:rsidRPr="00343251">
        <w:t xml:space="preserve"> FAST n° </w:t>
      </w:r>
      <w:r w:rsidR="00602673">
        <w:t>01-07-14</w:t>
      </w:r>
      <w:r>
        <w:t xml:space="preserve"> (</w:t>
      </w:r>
      <w:r w:rsidR="00602673">
        <w:t>ouvrier exécution TP)</w:t>
      </w:r>
    </w:p>
  </w:footnote>
  <w:footnote w:id="2">
    <w:p w:rsidR="00095E85" w:rsidRDefault="00095E8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95E85">
        <w:t>Sont ici recensées les principales actions de prévention pertinentes pour ce domaine d’activité, au-delà donc de celles qui viseraient spécifiquement une prévention adaptée aux salariés handicapés</w:t>
      </w:r>
    </w:p>
  </w:footnote>
  <w:footnote w:id="3">
    <w:p w:rsidR="00095E85" w:rsidRDefault="00095E8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95E85">
        <w:t>Partie à compléter et à joindre par les répondants au formulaire de réponse adressé au secrétariat d’Etat chargé des Personnes handicapées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169"/>
    <w:multiLevelType w:val="multilevel"/>
    <w:tmpl w:val="898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26580"/>
    <w:multiLevelType w:val="multilevel"/>
    <w:tmpl w:val="5214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26051"/>
    <w:multiLevelType w:val="multilevel"/>
    <w:tmpl w:val="78C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95BB7"/>
    <w:multiLevelType w:val="multilevel"/>
    <w:tmpl w:val="6998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92C9C"/>
    <w:multiLevelType w:val="multilevel"/>
    <w:tmpl w:val="4DC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87111"/>
    <w:multiLevelType w:val="multilevel"/>
    <w:tmpl w:val="E7B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B6F74"/>
    <w:multiLevelType w:val="multilevel"/>
    <w:tmpl w:val="E7C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82AD0"/>
    <w:multiLevelType w:val="multilevel"/>
    <w:tmpl w:val="680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DF3"/>
    <w:multiLevelType w:val="multilevel"/>
    <w:tmpl w:val="F436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86CE4"/>
    <w:multiLevelType w:val="hybridMultilevel"/>
    <w:tmpl w:val="D8B4ED8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6657B5"/>
    <w:multiLevelType w:val="multilevel"/>
    <w:tmpl w:val="22CA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A4CB4"/>
    <w:multiLevelType w:val="multilevel"/>
    <w:tmpl w:val="BCC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D137C6"/>
    <w:multiLevelType w:val="multilevel"/>
    <w:tmpl w:val="DB86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67F36"/>
    <w:multiLevelType w:val="multilevel"/>
    <w:tmpl w:val="086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60D66"/>
    <w:multiLevelType w:val="hybridMultilevel"/>
    <w:tmpl w:val="D1EE16BA"/>
    <w:lvl w:ilvl="0" w:tplc="F85EC004">
      <w:start w:val="65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24B28"/>
    <w:multiLevelType w:val="multilevel"/>
    <w:tmpl w:val="247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24938"/>
    <w:multiLevelType w:val="hybridMultilevel"/>
    <w:tmpl w:val="C9D45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35F33"/>
    <w:multiLevelType w:val="multilevel"/>
    <w:tmpl w:val="FB5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FC7533"/>
    <w:multiLevelType w:val="hybridMultilevel"/>
    <w:tmpl w:val="02E2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548D9"/>
    <w:multiLevelType w:val="multilevel"/>
    <w:tmpl w:val="EB28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D2998"/>
    <w:multiLevelType w:val="multilevel"/>
    <w:tmpl w:val="C00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845DD"/>
    <w:multiLevelType w:val="multilevel"/>
    <w:tmpl w:val="DE5C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5"/>
  </w:num>
  <w:num w:numId="5">
    <w:abstractNumId w:val="21"/>
  </w:num>
  <w:num w:numId="6">
    <w:abstractNumId w:val="1"/>
  </w:num>
  <w:num w:numId="7">
    <w:abstractNumId w:val="18"/>
  </w:num>
  <w:num w:numId="8">
    <w:abstractNumId w:val="9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15"/>
  </w:num>
  <w:num w:numId="14">
    <w:abstractNumId w:val="8"/>
  </w:num>
  <w:num w:numId="15">
    <w:abstractNumId w:val="17"/>
  </w:num>
  <w:num w:numId="16">
    <w:abstractNumId w:val="4"/>
  </w:num>
  <w:num w:numId="17">
    <w:abstractNumId w:val="2"/>
  </w:num>
  <w:num w:numId="18">
    <w:abstractNumId w:val="13"/>
  </w:num>
  <w:num w:numId="19">
    <w:abstractNumId w:val="19"/>
  </w:num>
  <w:num w:numId="20">
    <w:abstractNumId w:val="0"/>
  </w:num>
  <w:num w:numId="21">
    <w:abstractNumId w:val="20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36"/>
    <w:rsid w:val="0003259D"/>
    <w:rsid w:val="00067F3E"/>
    <w:rsid w:val="0009200D"/>
    <w:rsid w:val="00095E85"/>
    <w:rsid w:val="000D423F"/>
    <w:rsid w:val="00123D60"/>
    <w:rsid w:val="00136E73"/>
    <w:rsid w:val="00141799"/>
    <w:rsid w:val="001B26B6"/>
    <w:rsid w:val="001B3E4B"/>
    <w:rsid w:val="001B7BBE"/>
    <w:rsid w:val="001C17BB"/>
    <w:rsid w:val="001E0D51"/>
    <w:rsid w:val="001E4928"/>
    <w:rsid w:val="001F0331"/>
    <w:rsid w:val="001F24E1"/>
    <w:rsid w:val="00207725"/>
    <w:rsid w:val="00216F48"/>
    <w:rsid w:val="00273E45"/>
    <w:rsid w:val="0029206D"/>
    <w:rsid w:val="002A6E5E"/>
    <w:rsid w:val="00331D3B"/>
    <w:rsid w:val="00337C34"/>
    <w:rsid w:val="00343251"/>
    <w:rsid w:val="00360702"/>
    <w:rsid w:val="003645E2"/>
    <w:rsid w:val="0042213D"/>
    <w:rsid w:val="004720AD"/>
    <w:rsid w:val="004C5B18"/>
    <w:rsid w:val="004F41A2"/>
    <w:rsid w:val="0053725F"/>
    <w:rsid w:val="005A25CF"/>
    <w:rsid w:val="00602673"/>
    <w:rsid w:val="00624936"/>
    <w:rsid w:val="00627620"/>
    <w:rsid w:val="00650982"/>
    <w:rsid w:val="00691F1E"/>
    <w:rsid w:val="00693975"/>
    <w:rsid w:val="006B016F"/>
    <w:rsid w:val="00746255"/>
    <w:rsid w:val="00746E66"/>
    <w:rsid w:val="007C7FAB"/>
    <w:rsid w:val="00850DE0"/>
    <w:rsid w:val="008A4D3C"/>
    <w:rsid w:val="008D01FC"/>
    <w:rsid w:val="008D3C0C"/>
    <w:rsid w:val="00A46BE0"/>
    <w:rsid w:val="00A73D73"/>
    <w:rsid w:val="00AA4A2E"/>
    <w:rsid w:val="00AB282D"/>
    <w:rsid w:val="00AC79FD"/>
    <w:rsid w:val="00AF4DE7"/>
    <w:rsid w:val="00B20DA3"/>
    <w:rsid w:val="00B25E15"/>
    <w:rsid w:val="00B25FC9"/>
    <w:rsid w:val="00B52ED0"/>
    <w:rsid w:val="00B7398C"/>
    <w:rsid w:val="00BA5332"/>
    <w:rsid w:val="00BB00DA"/>
    <w:rsid w:val="00BF584A"/>
    <w:rsid w:val="00C232DD"/>
    <w:rsid w:val="00C25F3F"/>
    <w:rsid w:val="00CB4669"/>
    <w:rsid w:val="00CC6879"/>
    <w:rsid w:val="00D45D8D"/>
    <w:rsid w:val="00D74BE8"/>
    <w:rsid w:val="00D76611"/>
    <w:rsid w:val="00DA35F5"/>
    <w:rsid w:val="00DA5FB1"/>
    <w:rsid w:val="00DC644B"/>
    <w:rsid w:val="00E45843"/>
    <w:rsid w:val="00E539B8"/>
    <w:rsid w:val="00ED06DC"/>
    <w:rsid w:val="00EF011F"/>
    <w:rsid w:val="00F229BE"/>
    <w:rsid w:val="00F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23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46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3251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2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32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325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B2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2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26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6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B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3D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123D6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539B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Aucuneliste1">
    <w:name w:val="Aucune liste1"/>
    <w:next w:val="Aucuneliste"/>
    <w:uiPriority w:val="99"/>
    <w:semiHidden/>
    <w:unhideWhenUsed/>
    <w:rsid w:val="00E539B8"/>
  </w:style>
  <w:style w:type="character" w:styleId="Lienhypertextesuivivisit">
    <w:name w:val="FollowedHyperlink"/>
    <w:basedOn w:val="Policepardfaut"/>
    <w:uiPriority w:val="99"/>
    <w:semiHidden/>
    <w:unhideWhenUsed/>
    <w:rsid w:val="00E539B8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E539B8"/>
    <w:rPr>
      <w:i/>
      <w:iCs/>
    </w:rPr>
  </w:style>
  <w:style w:type="paragraph" w:customStyle="1" w:styleId="western">
    <w:name w:val="western"/>
    <w:basedOn w:val="Normal"/>
    <w:rsid w:val="00E5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23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46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3251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2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32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325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B2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2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26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6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B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3D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123D6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539B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Aucuneliste1">
    <w:name w:val="Aucune liste1"/>
    <w:next w:val="Aucuneliste"/>
    <w:uiPriority w:val="99"/>
    <w:semiHidden/>
    <w:unhideWhenUsed/>
    <w:rsid w:val="00E539B8"/>
  </w:style>
  <w:style w:type="character" w:styleId="Lienhypertextesuivivisit">
    <w:name w:val="FollowedHyperlink"/>
    <w:basedOn w:val="Policepardfaut"/>
    <w:uiPriority w:val="99"/>
    <w:semiHidden/>
    <w:unhideWhenUsed/>
    <w:rsid w:val="00E539B8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E539B8"/>
    <w:rPr>
      <w:i/>
      <w:iCs/>
    </w:rPr>
  </w:style>
  <w:style w:type="paragraph" w:customStyle="1" w:styleId="western">
    <w:name w:val="western"/>
    <w:basedOn w:val="Normal"/>
    <w:rsid w:val="00E5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st-sante-travail.fr/rst/pages-article/ArticleRST.html?ref=RST.TM%2038" TargetMode="External"/><Relationship Id="rId18" Type="http://schemas.openxmlformats.org/officeDocument/2006/relationships/hyperlink" Target="http://www.inrs.fr/media.html?refINRS=ED%20903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www.preventionbtp.fr/Documentation/Explorer-par-metier/Travaux-publics/Canalisateur/Travaux-en-egouts-Hygiene-et-securite-des-personnels-d-exploitation-et-d-entreti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nrs.fr/media.html?refINRS=ED%204272" TargetMode="External"/><Relationship Id="rId17" Type="http://schemas.openxmlformats.org/officeDocument/2006/relationships/hyperlink" Target="http://www.inrs.fr/media.html?refINRS=ED%206065" TargetMode="External"/><Relationship Id="rId25" Type="http://schemas.openxmlformats.org/officeDocument/2006/relationships/hyperlink" Target="https://www.preventionbtp.fr/Documentation/Explorer-par-metier/Gros-oeuvre-et-genie-civil/Macon/Massifs-en-beton-pour-catenaire-Coulage-du-beton-pour-realiser-une-carot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eli.fr/sites/default/files/Documents/31336/document/r472.pdf" TargetMode="External"/><Relationship Id="rId20" Type="http://schemas.openxmlformats.org/officeDocument/2006/relationships/hyperlink" Target="https://www.preventionbtp.fr/Documentation/Explorer-par-metier/Travaux-publics/Terrassier/Prevention-sur-les-chantiers-de-terrassem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rs.fr/media.html?refINRS=DO%2019" TargetMode="External"/><Relationship Id="rId24" Type="http://schemas.openxmlformats.org/officeDocument/2006/relationships/hyperlink" Target="https://www.preventionbtp.fr/Documentation/Explorer-par-metier/Gros-oeuvre-et-genie-civil/Macon/Conditions-de-travail-dans-les-vides-sanitair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rs.fr/media.html?refINRS=FAR%2030" TargetMode="External"/><Relationship Id="rId23" Type="http://schemas.openxmlformats.org/officeDocument/2006/relationships/hyperlink" Target="https://www.preventionbtp.fr/Documentation/Explorer-par-metier/Travaux-publics/Canalisateur/Fiche-accueil-TP-Canalisation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rs.fr/media.html?refINRS=ED%206300" TargetMode="External"/><Relationship Id="rId19" Type="http://schemas.openxmlformats.org/officeDocument/2006/relationships/hyperlink" Target="http://www.inrs.fr/media.html?refINRS=ED%209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rs.fr/media.html?refINRS=ED%206301" TargetMode="External"/><Relationship Id="rId14" Type="http://schemas.openxmlformats.org/officeDocument/2006/relationships/hyperlink" Target="http://www.inrs.fr/media.html?refINRS=NO%209" TargetMode="External"/><Relationship Id="rId22" Type="http://schemas.openxmlformats.org/officeDocument/2006/relationships/hyperlink" Target="https://www.preventionbtp.fr/Documentation/Explorer-par-metier/Gros-oeuvre-et-genie-civil/Macon/Terrassements-en-sous-oeuvre-et-fondatio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986A-1604-4D06-9D87-1FC4B4F6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1589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LANOUZIERE, Herve</dc:creator>
  <cp:lastModifiedBy>LANOUZIERE, Herve</cp:lastModifiedBy>
  <cp:revision>16</cp:revision>
  <dcterms:created xsi:type="dcterms:W3CDTF">2019-02-06T09:09:00Z</dcterms:created>
  <dcterms:modified xsi:type="dcterms:W3CDTF">2019-03-25T20:49:00Z</dcterms:modified>
</cp:coreProperties>
</file>