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42" w:rsidRDefault="00841042">
      <w:pPr>
        <w:pStyle w:val="Corpsdetexte"/>
        <w:spacing w:before="10"/>
        <w:rPr>
          <w:rFonts w:ascii="Times New Roman"/>
          <w:sz w:val="18"/>
        </w:rPr>
      </w:pPr>
      <w:bookmarkStart w:id="0" w:name="_GoBack"/>
      <w:bookmarkEnd w:id="0"/>
    </w:p>
    <w:p w:rsidR="00841042" w:rsidRDefault="00841042">
      <w:pPr>
        <w:rPr>
          <w:rFonts w:ascii="Times New Roman"/>
          <w:sz w:val="18"/>
        </w:rPr>
        <w:sectPr w:rsidR="00841042">
          <w:type w:val="continuous"/>
          <w:pgSz w:w="11910" w:h="16840"/>
          <w:pgMar w:top="800" w:right="840" w:bottom="280" w:left="840" w:header="720" w:footer="720" w:gutter="0"/>
          <w:cols w:space="720"/>
        </w:sect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rPr>
          <w:rFonts w:ascii="Times New Roman"/>
          <w:sz w:val="28"/>
        </w:rPr>
      </w:pPr>
    </w:p>
    <w:p w:rsidR="00841042" w:rsidRDefault="00841042">
      <w:pPr>
        <w:pStyle w:val="Corpsdetexte"/>
        <w:spacing w:before="4"/>
        <w:rPr>
          <w:rFonts w:ascii="Times New Roman"/>
          <w:sz w:val="38"/>
        </w:rPr>
      </w:pPr>
    </w:p>
    <w:p w:rsidR="00841042" w:rsidRDefault="00BF6047">
      <w:pPr>
        <w:ind w:left="3745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598470</wp:posOffset>
            </wp:positionH>
            <wp:positionV relativeFrom="paragraph">
              <wp:posOffset>-1638639</wp:posOffset>
            </wp:positionV>
            <wp:extent cx="1527208" cy="12228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08" cy="1222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Communiqué de presse</w:t>
      </w:r>
    </w:p>
    <w:p w:rsidR="00841042" w:rsidRDefault="00BF6047">
      <w:pPr>
        <w:spacing w:before="93"/>
        <w:ind w:left="211" w:right="106" w:hanging="109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Haut-Commissaire aux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pacing w:val="-3"/>
          <w:sz w:val="24"/>
        </w:rPr>
        <w:t>compétences</w:t>
      </w: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rPr>
          <w:rFonts w:ascii="Arial"/>
          <w:b/>
          <w:sz w:val="26"/>
        </w:rPr>
      </w:pPr>
    </w:p>
    <w:p w:rsidR="00841042" w:rsidRDefault="00841042">
      <w:pPr>
        <w:pStyle w:val="Corpsdetexte"/>
        <w:spacing w:before="9"/>
        <w:rPr>
          <w:rFonts w:ascii="Arial"/>
          <w:b/>
          <w:sz w:val="23"/>
        </w:rPr>
      </w:pPr>
    </w:p>
    <w:p w:rsidR="00841042" w:rsidRDefault="00BF6047">
      <w:pPr>
        <w:pStyle w:val="Corpsdetexte"/>
        <w:spacing w:before="1"/>
        <w:ind w:left="472"/>
      </w:pPr>
      <w:r>
        <w:t>Paris, 16 mars</w:t>
      </w:r>
      <w:r>
        <w:rPr>
          <w:spacing w:val="-7"/>
        </w:rPr>
        <w:t xml:space="preserve"> </w:t>
      </w:r>
      <w:r>
        <w:t>2022</w:t>
      </w:r>
    </w:p>
    <w:p w:rsidR="00841042" w:rsidRDefault="00841042">
      <w:pPr>
        <w:sectPr w:rsidR="00841042">
          <w:type w:val="continuous"/>
          <w:pgSz w:w="11910" w:h="16840"/>
          <w:pgMar w:top="800" w:right="840" w:bottom="280" w:left="840" w:header="720" w:footer="720" w:gutter="0"/>
          <w:cols w:num="2" w:space="720" w:equalWidth="0">
            <w:col w:w="6526" w:space="1355"/>
            <w:col w:w="2349"/>
          </w:cols>
        </w:sectPr>
      </w:pPr>
    </w:p>
    <w:p w:rsidR="00841042" w:rsidRDefault="00841042">
      <w:pPr>
        <w:pStyle w:val="Corpsdetexte"/>
        <w:rPr>
          <w:sz w:val="20"/>
        </w:rPr>
      </w:pPr>
    </w:p>
    <w:p w:rsidR="00841042" w:rsidRDefault="00841042">
      <w:pPr>
        <w:pStyle w:val="Corpsdetexte"/>
        <w:spacing w:before="5"/>
        <w:rPr>
          <w:sz w:val="19"/>
        </w:rPr>
      </w:pPr>
    </w:p>
    <w:p w:rsidR="00841042" w:rsidRDefault="00BF6047">
      <w:pPr>
        <w:pStyle w:val="Titre1"/>
        <w:spacing w:before="56"/>
        <w:ind w:left="2654" w:right="1715"/>
      </w:pPr>
      <w:r>
        <w:t>La Région La Réunion et l’État amplifient la mobilisation pour la formation des personnes en recherche d’emploi en 2022 et 2023</w:t>
      </w:r>
    </w:p>
    <w:p w:rsidR="00841042" w:rsidRDefault="00841042">
      <w:pPr>
        <w:pStyle w:val="Corpsdetexte"/>
        <w:spacing w:before="1"/>
        <w:rPr>
          <w:b/>
        </w:rPr>
      </w:pPr>
    </w:p>
    <w:p w:rsidR="00841042" w:rsidRDefault="00BF6047">
      <w:pPr>
        <w:pStyle w:val="Corpsdetexte"/>
        <w:ind w:left="124" w:right="120"/>
        <w:jc w:val="both"/>
      </w:pPr>
      <w:r>
        <w:t>La haut-commissaire aux Compétences, Carine Seiler, et la présidente de Région, Huguette Bello, ont signé aujourd’hui le premie</w:t>
      </w:r>
      <w:r>
        <w:t>r avenant au Pacte réunionnais d’investissement dans les compétences.</w:t>
      </w:r>
    </w:p>
    <w:p w:rsidR="00841042" w:rsidRDefault="00841042">
      <w:pPr>
        <w:pStyle w:val="Corpsdetexte"/>
        <w:spacing w:before="11"/>
        <w:rPr>
          <w:sz w:val="21"/>
        </w:rPr>
      </w:pPr>
    </w:p>
    <w:p w:rsidR="00841042" w:rsidRDefault="00BF6047">
      <w:pPr>
        <w:ind w:left="124" w:right="119"/>
        <w:jc w:val="both"/>
      </w:pPr>
      <w:r>
        <w:t xml:space="preserve">Cet avenant a pour ambition </w:t>
      </w:r>
      <w:r>
        <w:rPr>
          <w:b/>
        </w:rPr>
        <w:t>d’amplifier l’effort de formation en 2022 et en 2023 vers les personnes en recherche d’emploi, les jeunes en situation de décrochage scolaire ou encore les p</w:t>
      </w:r>
      <w:r>
        <w:rPr>
          <w:b/>
        </w:rPr>
        <w:t xml:space="preserve">ublics touchés par l’illettrisme, et ainsi favoriser leur insertion professionnelle durable </w:t>
      </w:r>
      <w:r>
        <w:t>et répondre aux besoins en compétences des entreprises réunionnaises.</w:t>
      </w:r>
    </w:p>
    <w:p w:rsidR="00841042" w:rsidRDefault="00841042">
      <w:pPr>
        <w:pStyle w:val="Corpsdetexte"/>
        <w:spacing w:before="1"/>
      </w:pPr>
    </w:p>
    <w:p w:rsidR="00841042" w:rsidRDefault="00BF6047">
      <w:pPr>
        <w:pStyle w:val="Titre1"/>
        <w:ind w:firstLine="0"/>
        <w:jc w:val="both"/>
        <w:rPr>
          <w:b w:val="0"/>
        </w:rPr>
      </w:pPr>
      <w:r>
        <w:rPr>
          <w:b w:val="0"/>
        </w:rPr>
        <w:t xml:space="preserve">En 2022, ce sont </w:t>
      </w:r>
      <w:r>
        <w:t xml:space="preserve">110,5 millions d’euros qui seront consacrés à la formation des personnes en </w:t>
      </w:r>
      <w:r>
        <w:t xml:space="preserve">recherche </w:t>
      </w:r>
      <w:proofErr w:type="gramStart"/>
      <w:r>
        <w:t>d’emploi</w:t>
      </w:r>
      <w:proofErr w:type="gramEnd"/>
      <w:r>
        <w:t xml:space="preserve"> à La Réunion </w:t>
      </w:r>
      <w:r>
        <w:rPr>
          <w:b w:val="0"/>
        </w:rPr>
        <w:t>:</w:t>
      </w:r>
    </w:p>
    <w:p w:rsidR="00841042" w:rsidRDefault="00BF604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spacing w:before="0" w:line="279" w:lineRule="exact"/>
        <w:ind w:hanging="361"/>
      </w:pPr>
      <w:r>
        <w:t>24 millions d’euros par la Région La Réunion</w:t>
      </w:r>
      <w:r>
        <w:rPr>
          <w:spacing w:val="-5"/>
        </w:rPr>
        <w:t xml:space="preserve"> </w:t>
      </w:r>
      <w:r>
        <w:t>;</w:t>
      </w:r>
    </w:p>
    <w:p w:rsidR="00841042" w:rsidRDefault="00BF604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ind w:hanging="361"/>
      </w:pPr>
      <w:r>
        <w:t>17 millions d’euros par Pôle emploi</w:t>
      </w:r>
      <w:r>
        <w:rPr>
          <w:spacing w:val="-4"/>
        </w:rPr>
        <w:t xml:space="preserve"> </w:t>
      </w:r>
      <w:r>
        <w:t>;</w:t>
      </w:r>
    </w:p>
    <w:p w:rsidR="00841042" w:rsidRDefault="00BF6047">
      <w:pPr>
        <w:pStyle w:val="Paragraphedeliste"/>
        <w:numPr>
          <w:ilvl w:val="0"/>
          <w:numId w:val="1"/>
        </w:numPr>
        <w:tabs>
          <w:tab w:val="left" w:pos="845"/>
          <w:tab w:val="left" w:pos="846"/>
        </w:tabs>
        <w:ind w:hanging="361"/>
      </w:pPr>
      <w:r>
        <w:t>69,5 millions d’euros par l’État, dont 7,5 au titre du Plan de réduction des tensions de</w:t>
      </w:r>
      <w:r>
        <w:rPr>
          <w:spacing w:val="-23"/>
        </w:rPr>
        <w:t xml:space="preserve"> </w:t>
      </w:r>
      <w:r>
        <w:t>recrutement.</w:t>
      </w:r>
    </w:p>
    <w:p w:rsidR="00841042" w:rsidRDefault="00841042">
      <w:pPr>
        <w:pStyle w:val="Corpsdetexte"/>
      </w:pPr>
    </w:p>
    <w:p w:rsidR="00841042" w:rsidRDefault="00BF6047">
      <w:pPr>
        <w:pStyle w:val="Corpsdetexte"/>
        <w:ind w:left="124" w:right="117"/>
        <w:jc w:val="both"/>
      </w:pPr>
      <w:r>
        <w:t>Cet effort supplémentaire permettra notamment d’amplifier les formations préparatoires à la qualification proposées</w:t>
      </w:r>
      <w:r>
        <w:rPr>
          <w:spacing w:val="-7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Réunionnais</w:t>
      </w:r>
      <w:r>
        <w:rPr>
          <w:spacing w:val="-10"/>
        </w:rPr>
        <w:t xml:space="preserve"> </w:t>
      </w:r>
      <w:r>
        <w:t>éloignés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l’emploi</w:t>
      </w:r>
      <w:r>
        <w:rPr>
          <w:spacing w:val="-11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mettre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accent</w:t>
      </w:r>
      <w:r>
        <w:rPr>
          <w:spacing w:val="-7"/>
        </w:rPr>
        <w:t xml:space="preserve"> </w:t>
      </w:r>
      <w:r>
        <w:t>particulier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formations</w:t>
      </w:r>
      <w:r>
        <w:rPr>
          <w:spacing w:val="-8"/>
        </w:rPr>
        <w:t xml:space="preserve"> </w:t>
      </w:r>
      <w:r>
        <w:t>qui</w:t>
      </w:r>
      <w:r>
        <w:rPr>
          <w:spacing w:val="-10"/>
        </w:rPr>
        <w:t xml:space="preserve"> </w:t>
      </w:r>
      <w:r>
        <w:t>mènent aux métiers de l’agriculture, de l’hôt</w:t>
      </w:r>
      <w:r>
        <w:t>ellerie, du tourisme, des soins à la personne, du BTP et de l’environnement. En</w:t>
      </w:r>
      <w:r>
        <w:rPr>
          <w:spacing w:val="-8"/>
        </w:rPr>
        <w:t xml:space="preserve"> </w:t>
      </w:r>
      <w:r>
        <w:t>complément,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formations</w:t>
      </w:r>
      <w:r>
        <w:rPr>
          <w:spacing w:val="-8"/>
        </w:rPr>
        <w:t xml:space="preserve"> </w:t>
      </w:r>
      <w:proofErr w:type="spellStart"/>
      <w:r>
        <w:t>professionnalisantes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certifiantes</w:t>
      </w:r>
      <w:proofErr w:type="spellEnd"/>
      <w:r>
        <w:rPr>
          <w:spacing w:val="-6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orienteront</w:t>
      </w:r>
      <w:r>
        <w:rPr>
          <w:spacing w:val="-6"/>
        </w:rPr>
        <w:t xml:space="preserve"> </w:t>
      </w:r>
      <w:r>
        <w:t>vers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métiers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 et du traitement de l’information, du commerce, de la pêche et de</w:t>
      </w:r>
      <w:r>
        <w:t xml:space="preserve"> la</w:t>
      </w:r>
      <w:r>
        <w:rPr>
          <w:spacing w:val="-14"/>
        </w:rPr>
        <w:t xml:space="preserve"> </w:t>
      </w:r>
      <w:r>
        <w:t>mer.</w:t>
      </w:r>
    </w:p>
    <w:p w:rsidR="00841042" w:rsidRDefault="00841042">
      <w:pPr>
        <w:pStyle w:val="Corpsdetexte"/>
        <w:spacing w:before="11"/>
        <w:rPr>
          <w:sz w:val="21"/>
        </w:rPr>
      </w:pPr>
    </w:p>
    <w:p w:rsidR="00841042" w:rsidRDefault="00BF6047">
      <w:pPr>
        <w:pStyle w:val="Corpsdetexte"/>
        <w:spacing w:before="1"/>
        <w:ind w:left="124" w:right="120"/>
        <w:jc w:val="both"/>
      </w:pPr>
      <w:r>
        <w:t>Le partenariat avec Pôle emploi, dans la coordination avec l’État et la Région de l’identification des besoins en compétences et de l’offre de réponses les plus adaptées, sera poursuivi.</w:t>
      </w:r>
    </w:p>
    <w:p w:rsidR="00841042" w:rsidRDefault="00841042">
      <w:pPr>
        <w:pStyle w:val="Corpsdetexte"/>
      </w:pPr>
    </w:p>
    <w:p w:rsidR="00841042" w:rsidRDefault="00BF6047">
      <w:pPr>
        <w:ind w:left="124" w:right="119"/>
        <w:jc w:val="both"/>
      </w:pPr>
      <w:r>
        <w:t>« Le Pacte régional d’investissement dans les compétences et son avenant permettront d’</w:t>
      </w:r>
      <w:r>
        <w:rPr>
          <w:b/>
        </w:rPr>
        <w:t>amplifier l’effort de formation vers les personnes les plus éloignées de l’emploi à La Réunion, pour répondre aux besoins des entreprises du territoire, juste à temps et</w:t>
      </w:r>
      <w:r>
        <w:rPr>
          <w:b/>
        </w:rPr>
        <w:t xml:space="preserve"> en préparant l’avenir, en ne laissant personne sur le bord de la route. </w:t>
      </w:r>
      <w:r>
        <w:t>», Carine Seiler, haut-commissaire aux Compétences.</w:t>
      </w:r>
    </w:p>
    <w:sectPr w:rsidR="00841042">
      <w:type w:val="continuous"/>
      <w:pgSz w:w="11910" w:h="16840"/>
      <w:pgMar w:top="80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EF6"/>
    <w:multiLevelType w:val="hybridMultilevel"/>
    <w:tmpl w:val="87E861BE"/>
    <w:lvl w:ilvl="0" w:tplc="17F2E152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918658EC">
      <w:numFmt w:val="bullet"/>
      <w:lvlText w:val="•"/>
      <w:lvlJc w:val="left"/>
      <w:pPr>
        <w:ind w:left="1778" w:hanging="360"/>
      </w:pPr>
      <w:rPr>
        <w:rFonts w:hint="default"/>
        <w:lang w:val="fr-FR" w:eastAsia="fr-FR" w:bidi="fr-FR"/>
      </w:rPr>
    </w:lvl>
    <w:lvl w:ilvl="2" w:tplc="F31403BC">
      <w:numFmt w:val="bullet"/>
      <w:lvlText w:val="•"/>
      <w:lvlJc w:val="left"/>
      <w:pPr>
        <w:ind w:left="2717" w:hanging="360"/>
      </w:pPr>
      <w:rPr>
        <w:rFonts w:hint="default"/>
        <w:lang w:val="fr-FR" w:eastAsia="fr-FR" w:bidi="fr-FR"/>
      </w:rPr>
    </w:lvl>
    <w:lvl w:ilvl="3" w:tplc="AC608008">
      <w:numFmt w:val="bullet"/>
      <w:lvlText w:val="•"/>
      <w:lvlJc w:val="left"/>
      <w:pPr>
        <w:ind w:left="3655" w:hanging="360"/>
      </w:pPr>
      <w:rPr>
        <w:rFonts w:hint="default"/>
        <w:lang w:val="fr-FR" w:eastAsia="fr-FR" w:bidi="fr-FR"/>
      </w:rPr>
    </w:lvl>
    <w:lvl w:ilvl="4" w:tplc="2914331E">
      <w:numFmt w:val="bullet"/>
      <w:lvlText w:val="•"/>
      <w:lvlJc w:val="left"/>
      <w:pPr>
        <w:ind w:left="4594" w:hanging="360"/>
      </w:pPr>
      <w:rPr>
        <w:rFonts w:hint="default"/>
        <w:lang w:val="fr-FR" w:eastAsia="fr-FR" w:bidi="fr-FR"/>
      </w:rPr>
    </w:lvl>
    <w:lvl w:ilvl="5" w:tplc="5284E6FA">
      <w:numFmt w:val="bullet"/>
      <w:lvlText w:val="•"/>
      <w:lvlJc w:val="left"/>
      <w:pPr>
        <w:ind w:left="5533" w:hanging="360"/>
      </w:pPr>
      <w:rPr>
        <w:rFonts w:hint="default"/>
        <w:lang w:val="fr-FR" w:eastAsia="fr-FR" w:bidi="fr-FR"/>
      </w:rPr>
    </w:lvl>
    <w:lvl w:ilvl="6" w:tplc="ABF8F86C">
      <w:numFmt w:val="bullet"/>
      <w:lvlText w:val="•"/>
      <w:lvlJc w:val="left"/>
      <w:pPr>
        <w:ind w:left="6471" w:hanging="360"/>
      </w:pPr>
      <w:rPr>
        <w:rFonts w:hint="default"/>
        <w:lang w:val="fr-FR" w:eastAsia="fr-FR" w:bidi="fr-FR"/>
      </w:rPr>
    </w:lvl>
    <w:lvl w:ilvl="7" w:tplc="E598A140">
      <w:numFmt w:val="bullet"/>
      <w:lvlText w:val="•"/>
      <w:lvlJc w:val="left"/>
      <w:pPr>
        <w:ind w:left="7410" w:hanging="360"/>
      </w:pPr>
      <w:rPr>
        <w:rFonts w:hint="default"/>
        <w:lang w:val="fr-FR" w:eastAsia="fr-FR" w:bidi="fr-FR"/>
      </w:rPr>
    </w:lvl>
    <w:lvl w:ilvl="8" w:tplc="838AD804">
      <w:numFmt w:val="bullet"/>
      <w:lvlText w:val="•"/>
      <w:lvlJc w:val="left"/>
      <w:pPr>
        <w:ind w:left="8349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42"/>
    <w:rsid w:val="00841042"/>
    <w:rsid w:val="00B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E07CE-765A-4C02-B742-F0B8ECCA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24" w:right="127" w:hanging="92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"/>
      <w:ind w:left="84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C65D-F810-452A-A65A-E1C29BEE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En-tête Cabinet TEI-HCC</vt:lpstr>
    </vt:vector>
  </TitlesOfParts>
  <Company>PPT/DSI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En-tête Cabinet TEI-HCC</dc:title>
  <dc:creator>DUPONT, Maÿlis (HCC)</dc:creator>
  <cp:lastModifiedBy>PINATEL-IGOA, Florence (DICOM/INFLUENCE ET DIGITAL)</cp:lastModifiedBy>
  <cp:revision>2</cp:revision>
  <dcterms:created xsi:type="dcterms:W3CDTF">2022-03-16T15:59:00Z</dcterms:created>
  <dcterms:modified xsi:type="dcterms:W3CDTF">2022-03-16T15:59:00Z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