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39"/>
        <w:gridCol w:w="9361"/>
        <w:gridCol w:w="139"/>
      </w:tblGrid>
      <w:tr w:rsidR="0058577B" w:rsidRPr="00911272" w14:paraId="7F604572" w14:textId="77777777" w:rsidTr="0058577B">
        <w:trPr>
          <w:trHeight w:val="150"/>
        </w:trPr>
        <w:tc>
          <w:tcPr>
            <w:tcW w:w="9072" w:type="dxa"/>
            <w:gridSpan w:val="3"/>
            <w:shd w:val="clear" w:color="auto" w:fill="FFFFFF"/>
            <w:tcMar>
              <w:top w:w="0" w:type="dxa"/>
              <w:left w:w="150" w:type="dxa"/>
              <w:bottom w:w="0" w:type="dxa"/>
              <w:right w:w="150" w:type="dxa"/>
            </w:tcMar>
            <w:vAlign w:val="center"/>
            <w:hideMark/>
          </w:tcPr>
          <w:p w14:paraId="152D2139" w14:textId="77777777" w:rsidR="0058577B" w:rsidRPr="001242AC" w:rsidRDefault="0058577B" w:rsidP="00D95AFE">
            <w:pPr>
              <w:spacing w:line="150" w:lineRule="exact"/>
              <w:rPr>
                <w:rFonts w:ascii="Arial" w:hAnsi="Arial" w:cs="Arial"/>
                <w:sz w:val="15"/>
                <w:szCs w:val="15"/>
              </w:rPr>
            </w:pPr>
            <w:bookmarkStart w:id="0" w:name="_GoBack"/>
            <w:bookmarkEnd w:id="0"/>
            <w:r w:rsidRPr="001242AC">
              <w:rPr>
                <w:rFonts w:ascii="Arial" w:hAnsi="Arial" w:cs="Arial"/>
                <w:sz w:val="15"/>
                <w:szCs w:val="15"/>
              </w:rPr>
              <w:t xml:space="preserve">  </w:t>
            </w:r>
          </w:p>
        </w:tc>
      </w:tr>
      <w:tr w:rsidR="0058577B" w:rsidRPr="00911272" w14:paraId="3DDEE3EC" w14:textId="77777777" w:rsidTr="0058577B">
        <w:trPr>
          <w:hidden/>
        </w:trPr>
        <w:tc>
          <w:tcPr>
            <w:tcW w:w="131" w:type="dxa"/>
            <w:shd w:val="clear" w:color="auto" w:fill="FFFFFF"/>
            <w:vAlign w:val="center"/>
            <w:hideMark/>
          </w:tcPr>
          <w:p w14:paraId="2B551A08" w14:textId="77777777" w:rsidR="0058577B" w:rsidRPr="001242AC" w:rsidRDefault="0058577B" w:rsidP="00D95AFE">
            <w:pPr>
              <w:rPr>
                <w:rFonts w:ascii="Arial" w:hAnsi="Arial" w:cs="Arial"/>
                <w:vanish/>
              </w:rPr>
            </w:pPr>
          </w:p>
        </w:tc>
        <w:tc>
          <w:tcPr>
            <w:tcW w:w="881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1"/>
            </w:tblGrid>
            <w:tr w:rsidR="0058577B" w:rsidRPr="00911272" w14:paraId="6B159B5D" w14:textId="77777777" w:rsidTr="00D95AFE">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361"/>
                  </w:tblGrid>
                  <w:tr w:rsidR="0058577B" w:rsidRPr="00911272" w14:paraId="76A1E95B" w14:textId="77777777" w:rsidTr="00D95AFE">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1"/>
                        </w:tblGrid>
                        <w:tr w:rsidR="0058577B" w:rsidRPr="00911272" w14:paraId="39323610" w14:textId="77777777" w:rsidTr="00D95AFE">
                          <w:tc>
                            <w:tcPr>
                              <w:tcW w:w="0" w:type="auto"/>
                              <w:vAlign w:val="center"/>
                            </w:tcPr>
                            <w:tbl>
                              <w:tblPr>
                                <w:tblW w:w="5000" w:type="pct"/>
                                <w:jc w:val="center"/>
                                <w:tblCellMar>
                                  <w:left w:w="0" w:type="dxa"/>
                                  <w:right w:w="0" w:type="dxa"/>
                                </w:tblCellMar>
                                <w:tblLook w:val="04A0" w:firstRow="1" w:lastRow="0" w:firstColumn="1" w:lastColumn="0" w:noHBand="0" w:noVBand="1"/>
                              </w:tblPr>
                              <w:tblGrid>
                                <w:gridCol w:w="9361"/>
                              </w:tblGrid>
                              <w:tr w:rsidR="0058577B" w:rsidRPr="00911272" w14:paraId="5FE721A4" w14:textId="77777777" w:rsidTr="00D95AFE">
                                <w:trPr>
                                  <w:jc w:val="center"/>
                                </w:trPr>
                                <w:tc>
                                  <w:tcPr>
                                    <w:tcW w:w="0" w:type="auto"/>
                                    <w:vAlign w:val="center"/>
                                    <w:hideMark/>
                                  </w:tcPr>
                                  <w:tbl>
                                    <w:tblPr>
                                      <w:tblpPr w:vertAnchor="text"/>
                                      <w:tblW w:w="2581" w:type="dxa"/>
                                      <w:tblCellMar>
                                        <w:left w:w="0" w:type="dxa"/>
                                        <w:right w:w="0" w:type="dxa"/>
                                      </w:tblCellMar>
                                      <w:tblLook w:val="04A0" w:firstRow="1" w:lastRow="0" w:firstColumn="1" w:lastColumn="0" w:noHBand="0" w:noVBand="1"/>
                                    </w:tblPr>
                                    <w:tblGrid>
                                      <w:gridCol w:w="2581"/>
                                    </w:tblGrid>
                                    <w:tr w:rsidR="0058577B" w:rsidRPr="00911272" w14:paraId="40E1E72B" w14:textId="77777777" w:rsidTr="00D95AFE">
                                      <w:trPr>
                                        <w:trHeight w:val="2128"/>
                                      </w:trPr>
                                      <w:tc>
                                        <w:tcPr>
                                          <w:tcW w:w="0" w:type="auto"/>
                                          <w:vAlign w:val="center"/>
                                          <w:hideMark/>
                                        </w:tcPr>
                                        <w:p w14:paraId="7AD462DE" w14:textId="77777777" w:rsidR="0058577B" w:rsidRPr="001242AC" w:rsidRDefault="0058577B" w:rsidP="00D95AFE">
                                          <w:pPr>
                                            <w:spacing w:line="0" w:lineRule="atLeast"/>
                                            <w:rPr>
                                              <w:rFonts w:ascii="Arial" w:hAnsi="Arial" w:cs="Arial"/>
                                              <w:sz w:val="2"/>
                                              <w:szCs w:val="2"/>
                                            </w:rPr>
                                          </w:pPr>
                                          <w:r w:rsidRPr="001242AC">
                                            <w:rPr>
                                              <w:rFonts w:ascii="Arial" w:hAnsi="Arial" w:cs="Arial"/>
                                              <w:noProof/>
                                              <w:lang w:eastAsia="fr-FR"/>
                                            </w:rPr>
                                            <w:drawing>
                                              <wp:inline distT="0" distB="0" distL="0" distR="0" wp14:anchorId="34634453" wp14:editId="5F40E0D8">
                                                <wp:extent cx="1630018" cy="1358348"/>
                                                <wp:effectExtent l="0" t="0" r="0" b="635"/>
                                                <wp:docPr id="4" name="Image 4" descr="cid:image003.png@01D72624.3D60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3.png@01D72624.3D60A1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58532" cy="1382109"/>
                                                        </a:xfrm>
                                                        <a:prstGeom prst="rect">
                                                          <a:avLst/>
                                                        </a:prstGeom>
                                                        <a:noFill/>
                                                        <a:ln>
                                                          <a:noFill/>
                                                        </a:ln>
                                                      </pic:spPr>
                                                    </pic:pic>
                                                  </a:graphicData>
                                                </a:graphic>
                                              </wp:inline>
                                            </w:drawing>
                                          </w:r>
                                        </w:p>
                                      </w:tc>
                                    </w:tr>
                                  </w:tbl>
                                  <w:p w14:paraId="356E34AA" w14:textId="77777777" w:rsidR="0058577B" w:rsidRPr="001242AC" w:rsidRDefault="0058577B" w:rsidP="00D95AFE">
                                    <w:pPr>
                                      <w:rPr>
                                        <w:rFonts w:ascii="Arial" w:hAnsi="Arial" w:cs="Arial"/>
                                        <w:sz w:val="20"/>
                                        <w:szCs w:val="20"/>
                                      </w:rPr>
                                    </w:pPr>
                                  </w:p>
                                </w:tc>
                              </w:tr>
                            </w:tbl>
                            <w:p w14:paraId="41028026" w14:textId="77777777" w:rsidR="0058577B" w:rsidRPr="001242AC" w:rsidRDefault="0058577B" w:rsidP="00D95AFE">
                              <w:pPr>
                                <w:spacing w:line="252" w:lineRule="auto"/>
                                <w:jc w:val="center"/>
                                <w:rPr>
                                  <w:rFonts w:ascii="Arial" w:hAnsi="Arial" w:cs="Arial"/>
                                  <w:vanish/>
                                </w:rPr>
                              </w:pPr>
                            </w:p>
                            <w:tbl>
                              <w:tblPr>
                                <w:tblW w:w="0" w:type="auto"/>
                                <w:jc w:val="center"/>
                                <w:tblCellMar>
                                  <w:left w:w="0" w:type="dxa"/>
                                  <w:right w:w="0" w:type="dxa"/>
                                </w:tblCellMar>
                                <w:tblLook w:val="04A0" w:firstRow="1" w:lastRow="0" w:firstColumn="1" w:lastColumn="0" w:noHBand="0" w:noVBand="1"/>
                              </w:tblPr>
                              <w:tblGrid>
                                <w:gridCol w:w="84"/>
                              </w:tblGrid>
                              <w:tr w:rsidR="0058577B" w:rsidRPr="00911272" w14:paraId="11E40E2E" w14:textId="77777777" w:rsidTr="00D95AFE">
                                <w:trPr>
                                  <w:trHeight w:val="300"/>
                                  <w:jc w:val="center"/>
                                </w:trPr>
                                <w:tc>
                                  <w:tcPr>
                                    <w:tcW w:w="0" w:type="auto"/>
                                    <w:vAlign w:val="center"/>
                                    <w:hideMark/>
                                  </w:tcPr>
                                  <w:p w14:paraId="17FAF70B" w14:textId="77777777" w:rsidR="0058577B" w:rsidRPr="001242AC" w:rsidRDefault="0058577B" w:rsidP="00D95AFE">
                                    <w:pPr>
                                      <w:spacing w:line="300" w:lineRule="exact"/>
                                      <w:rPr>
                                        <w:rFonts w:ascii="Arial" w:hAnsi="Arial" w:cs="Arial"/>
                                        <w:sz w:val="30"/>
                                        <w:szCs w:val="30"/>
                                      </w:rPr>
                                    </w:pPr>
                                    <w:r w:rsidRPr="001242AC">
                                      <w:rPr>
                                        <w:rFonts w:ascii="Arial" w:hAnsi="Arial" w:cs="Arial"/>
                                        <w:sz w:val="30"/>
                                        <w:szCs w:val="30"/>
                                      </w:rPr>
                                      <w:t xml:space="preserve">  </w:t>
                                    </w:r>
                                  </w:p>
                                </w:tc>
                              </w:tr>
                            </w:tbl>
                            <w:p w14:paraId="7500C27D" w14:textId="77777777" w:rsidR="0058577B" w:rsidRPr="001242AC" w:rsidRDefault="0058577B" w:rsidP="00D95AFE">
                              <w:pPr>
                                <w:spacing w:line="252" w:lineRule="auto"/>
                                <w:jc w:val="center"/>
                                <w:rPr>
                                  <w:rFonts w:ascii="Arial" w:hAnsi="Arial" w:cs="Arial"/>
                                  <w:sz w:val="20"/>
                                  <w:szCs w:val="20"/>
                                </w:rPr>
                              </w:pPr>
                            </w:p>
                          </w:tc>
                        </w:tr>
                      </w:tbl>
                      <w:p w14:paraId="5650D901" w14:textId="77777777" w:rsidR="0058577B" w:rsidRPr="001242AC" w:rsidRDefault="0058577B" w:rsidP="00D95AFE">
                        <w:pPr>
                          <w:rPr>
                            <w:rFonts w:ascii="Arial" w:hAnsi="Arial" w:cs="Arial"/>
                            <w:sz w:val="20"/>
                            <w:szCs w:val="20"/>
                          </w:rPr>
                        </w:pPr>
                      </w:p>
                    </w:tc>
                  </w:tr>
                </w:tbl>
                <w:p w14:paraId="3C823AC6" w14:textId="77777777" w:rsidR="0058577B" w:rsidRPr="001242AC" w:rsidRDefault="0058577B" w:rsidP="00D95AFE">
                  <w:pPr>
                    <w:jc w:val="center"/>
                    <w:rPr>
                      <w:rFonts w:ascii="Arial" w:hAnsi="Arial" w:cs="Arial"/>
                      <w:sz w:val="20"/>
                      <w:szCs w:val="20"/>
                    </w:rPr>
                  </w:pPr>
                </w:p>
              </w:tc>
            </w:tr>
          </w:tbl>
          <w:p w14:paraId="36F62C08" w14:textId="77777777" w:rsidR="0058577B" w:rsidRPr="001242AC" w:rsidRDefault="0058577B" w:rsidP="00D95AFE">
            <w:pPr>
              <w:jc w:val="center"/>
              <w:rPr>
                <w:rFonts w:ascii="Arial" w:hAnsi="Arial" w:cs="Arial"/>
                <w:sz w:val="20"/>
                <w:szCs w:val="20"/>
              </w:rPr>
            </w:pPr>
          </w:p>
        </w:tc>
        <w:tc>
          <w:tcPr>
            <w:tcW w:w="131" w:type="dxa"/>
            <w:shd w:val="clear" w:color="auto" w:fill="FFFFFF"/>
            <w:vAlign w:val="center"/>
            <w:hideMark/>
          </w:tcPr>
          <w:p w14:paraId="1D040274" w14:textId="77777777" w:rsidR="0058577B" w:rsidRPr="001242AC" w:rsidRDefault="0058577B" w:rsidP="00D95AFE">
            <w:pPr>
              <w:rPr>
                <w:rFonts w:ascii="Arial" w:hAnsi="Arial" w:cs="Arial"/>
                <w:sz w:val="20"/>
                <w:szCs w:val="20"/>
              </w:rPr>
            </w:pPr>
          </w:p>
        </w:tc>
      </w:tr>
    </w:tbl>
    <w:p w14:paraId="2ADAAF06" w14:textId="77777777" w:rsidR="0058577B" w:rsidRPr="001242AC" w:rsidRDefault="0058577B" w:rsidP="0058577B">
      <w:pPr>
        <w:jc w:val="center"/>
        <w:rPr>
          <w:rStyle w:val="lev"/>
          <w:rFonts w:ascii="Arial" w:hAnsi="Arial" w:cs="Arial"/>
          <w:color w:val="000000"/>
        </w:rPr>
      </w:pPr>
      <w:r w:rsidRPr="001242AC">
        <w:rPr>
          <w:rStyle w:val="lev"/>
          <w:rFonts w:ascii="Arial" w:hAnsi="Arial" w:cs="Arial"/>
          <w:color w:val="000000"/>
        </w:rPr>
        <w:t>COMMUNIQUÉ DE PRESSE</w:t>
      </w:r>
    </w:p>
    <w:p w14:paraId="22794E4D" w14:textId="77777777" w:rsidR="0058577B" w:rsidRPr="001242AC" w:rsidRDefault="0058577B" w:rsidP="0058577B">
      <w:pPr>
        <w:rPr>
          <w:rStyle w:val="lev"/>
          <w:rFonts w:ascii="Arial" w:hAnsi="Arial" w:cs="Arial"/>
          <w:b w:val="0"/>
          <w:i/>
          <w:color w:val="000000"/>
          <w:sz w:val="18"/>
          <w:szCs w:val="18"/>
        </w:rPr>
      </w:pPr>
    </w:p>
    <w:p w14:paraId="22BDA0A3" w14:textId="77777777" w:rsidR="0058577B" w:rsidRPr="001242AC" w:rsidRDefault="0058577B" w:rsidP="0058577B">
      <w:pPr>
        <w:jc w:val="right"/>
        <w:rPr>
          <w:rStyle w:val="lev"/>
          <w:rFonts w:ascii="Arial" w:hAnsi="Arial" w:cs="Arial"/>
          <w:b w:val="0"/>
          <w:i/>
          <w:color w:val="000000" w:themeColor="text1"/>
          <w:sz w:val="18"/>
          <w:szCs w:val="18"/>
        </w:rPr>
      </w:pPr>
      <w:r w:rsidRPr="001242AC">
        <w:rPr>
          <w:rStyle w:val="lev"/>
          <w:rFonts w:ascii="Arial" w:hAnsi="Arial" w:cs="Arial"/>
          <w:b w:val="0"/>
          <w:i/>
          <w:color w:val="000000"/>
          <w:sz w:val="18"/>
          <w:szCs w:val="18"/>
        </w:rPr>
        <w:t>Paris, le 26 mai 2021</w:t>
      </w:r>
    </w:p>
    <w:p w14:paraId="5FC85DB0" w14:textId="77777777" w:rsidR="0058577B" w:rsidRPr="001242AC" w:rsidRDefault="0058577B" w:rsidP="0058577B">
      <w:pPr>
        <w:rPr>
          <w:rStyle w:val="lev"/>
          <w:rFonts w:ascii="Arial" w:hAnsi="Arial" w:cs="Arial"/>
          <w:color w:val="000000" w:themeColor="text1"/>
        </w:rPr>
      </w:pPr>
    </w:p>
    <w:p w14:paraId="24BF05ED" w14:textId="77777777" w:rsidR="0058577B" w:rsidRPr="001242AC" w:rsidRDefault="0058577B" w:rsidP="0058577B">
      <w:pPr>
        <w:rPr>
          <w:rStyle w:val="lev"/>
          <w:rFonts w:ascii="Arial" w:hAnsi="Arial" w:cs="Arial"/>
          <w:color w:val="000000" w:themeColor="text1"/>
        </w:rPr>
      </w:pPr>
    </w:p>
    <w:p w14:paraId="709DEA00" w14:textId="101CAE9C" w:rsidR="00026FFE" w:rsidRPr="001242AC" w:rsidRDefault="00026FFE" w:rsidP="0058577B">
      <w:pPr>
        <w:jc w:val="center"/>
        <w:rPr>
          <w:rStyle w:val="lev"/>
          <w:rFonts w:ascii="Arial" w:hAnsi="Arial" w:cs="Arial"/>
          <w:color w:val="000000" w:themeColor="text1"/>
          <w:sz w:val="24"/>
        </w:rPr>
      </w:pPr>
    </w:p>
    <w:p w14:paraId="7526F9A8" w14:textId="2F9015AD" w:rsidR="00026FFE" w:rsidRPr="001242AC" w:rsidRDefault="00C279FB" w:rsidP="0058577B">
      <w:pPr>
        <w:jc w:val="center"/>
        <w:rPr>
          <w:rStyle w:val="lev"/>
          <w:rFonts w:ascii="Arial" w:hAnsi="Arial" w:cs="Arial"/>
          <w:color w:val="000000" w:themeColor="text1"/>
          <w:sz w:val="24"/>
        </w:rPr>
      </w:pPr>
      <w:r>
        <w:rPr>
          <w:rStyle w:val="lev"/>
          <w:rFonts w:ascii="Arial" w:hAnsi="Arial" w:cs="Arial"/>
          <w:color w:val="000000" w:themeColor="text1"/>
          <w:sz w:val="24"/>
        </w:rPr>
        <w:t>Audience et r</w:t>
      </w:r>
      <w:r w:rsidR="00026FFE" w:rsidRPr="001242AC">
        <w:rPr>
          <w:rStyle w:val="lev"/>
          <w:rFonts w:ascii="Arial" w:hAnsi="Arial" w:cs="Arial"/>
          <w:color w:val="000000" w:themeColor="text1"/>
          <w:sz w:val="24"/>
        </w:rPr>
        <w:t>eprésentativité syndicale : les r</w:t>
      </w:r>
      <w:r w:rsidR="001901FD">
        <w:rPr>
          <w:rStyle w:val="lev"/>
          <w:rFonts w:ascii="Arial" w:hAnsi="Arial" w:cs="Arial"/>
          <w:color w:val="000000" w:themeColor="text1"/>
          <w:sz w:val="24"/>
        </w:rPr>
        <w:t>ésultats pour le cycle 2017-2020</w:t>
      </w:r>
    </w:p>
    <w:p w14:paraId="7344A561" w14:textId="77777777" w:rsidR="0058577B" w:rsidRPr="001242AC" w:rsidRDefault="0058577B" w:rsidP="0058577B">
      <w:pPr>
        <w:rPr>
          <w:rStyle w:val="lev"/>
          <w:rFonts w:ascii="Arial" w:hAnsi="Arial" w:cs="Arial"/>
          <w:color w:val="000000" w:themeColor="text1"/>
        </w:rPr>
      </w:pPr>
    </w:p>
    <w:p w14:paraId="2B89641D" w14:textId="77777777" w:rsidR="0058577B" w:rsidRPr="001242AC" w:rsidRDefault="0058577B" w:rsidP="0058577B">
      <w:pPr>
        <w:rPr>
          <w:rFonts w:ascii="Arial" w:eastAsia="Marianne" w:hAnsi="Arial" w:cs="Arial"/>
          <w:b/>
          <w:sz w:val="20"/>
          <w:szCs w:val="20"/>
        </w:rPr>
      </w:pPr>
    </w:p>
    <w:p w14:paraId="50D27956" w14:textId="1395523B" w:rsidR="008C32EC" w:rsidRPr="001242AC" w:rsidRDefault="0058577B" w:rsidP="00D851F1">
      <w:pPr>
        <w:jc w:val="both"/>
        <w:rPr>
          <w:rFonts w:ascii="Arial" w:hAnsi="Arial" w:cs="Arial"/>
          <w:iCs/>
        </w:rPr>
      </w:pPr>
      <w:r w:rsidRPr="001242AC">
        <w:rPr>
          <w:rFonts w:ascii="Arial" w:hAnsi="Arial" w:cs="Arial"/>
        </w:rPr>
        <w:t>Pour la troisième fois</w:t>
      </w:r>
      <w:r w:rsidR="006B08AC">
        <w:rPr>
          <w:rFonts w:ascii="Arial" w:hAnsi="Arial" w:cs="Arial"/>
        </w:rPr>
        <w:t xml:space="preserve"> </w:t>
      </w:r>
      <w:r w:rsidR="00911272">
        <w:rPr>
          <w:rFonts w:ascii="Arial" w:hAnsi="Arial" w:cs="Arial"/>
        </w:rPr>
        <w:t xml:space="preserve">depuis </w:t>
      </w:r>
      <w:r w:rsidRPr="001242AC">
        <w:rPr>
          <w:rFonts w:ascii="Arial" w:hAnsi="Arial" w:cs="Arial"/>
        </w:rPr>
        <w:t xml:space="preserve">la réforme de la représentativité syndicale </w:t>
      </w:r>
      <w:r w:rsidR="00911272">
        <w:rPr>
          <w:rFonts w:ascii="Arial" w:hAnsi="Arial" w:cs="Arial"/>
        </w:rPr>
        <w:t>en</w:t>
      </w:r>
      <w:r w:rsidRPr="001242AC">
        <w:rPr>
          <w:rFonts w:ascii="Arial" w:hAnsi="Arial" w:cs="Arial"/>
        </w:rPr>
        <w:t xml:space="preserve"> 2008, </w:t>
      </w:r>
      <w:r w:rsidR="006B08AC">
        <w:rPr>
          <w:rFonts w:ascii="Arial" w:hAnsi="Arial" w:cs="Arial"/>
        </w:rPr>
        <w:t xml:space="preserve">et comme tous les quatre ans, </w:t>
      </w:r>
      <w:r w:rsidRPr="001242AC">
        <w:rPr>
          <w:rFonts w:ascii="Arial" w:hAnsi="Arial" w:cs="Arial"/>
        </w:rPr>
        <w:t>l’audience des organisations syndicales a été mesurée au niveau national et interprofessionnel ainsi qu’au niveau des branches professionnelles.</w:t>
      </w:r>
      <w:r w:rsidRPr="001242AC">
        <w:rPr>
          <w:rFonts w:ascii="Arial" w:hAnsi="Arial" w:cs="Arial"/>
          <w:b/>
        </w:rPr>
        <w:t xml:space="preserve"> </w:t>
      </w:r>
      <w:r w:rsidR="008C32EC" w:rsidRPr="001242AC">
        <w:rPr>
          <w:rFonts w:ascii="Arial" w:hAnsi="Arial" w:cs="Arial"/>
          <w:iCs/>
        </w:rPr>
        <w:t>Les résultats ont été présentés aux partenaires sociaux réunis au sein du Haut Conseil du dialogue social (HCDS) ce matin.</w:t>
      </w:r>
    </w:p>
    <w:p w14:paraId="3585B90D" w14:textId="77777777" w:rsidR="00911272" w:rsidRPr="001242AC" w:rsidRDefault="00911272" w:rsidP="00D851F1">
      <w:pPr>
        <w:jc w:val="both"/>
        <w:rPr>
          <w:rFonts w:ascii="Arial" w:hAnsi="Arial" w:cs="Arial"/>
          <w:b/>
        </w:rPr>
      </w:pPr>
    </w:p>
    <w:p w14:paraId="5DD551E1" w14:textId="35EBE7BF" w:rsidR="00C279FB" w:rsidRDefault="00C279FB" w:rsidP="00D851F1">
      <w:pPr>
        <w:spacing w:after="60"/>
        <w:jc w:val="both"/>
        <w:rPr>
          <w:rFonts w:ascii="Arial" w:hAnsi="Arial" w:cs="Arial"/>
          <w:iCs/>
        </w:rPr>
      </w:pPr>
      <w:r w:rsidRPr="001207F6">
        <w:rPr>
          <w:rFonts w:ascii="Arial" w:hAnsi="Arial" w:cs="Arial"/>
          <w:iCs/>
        </w:rPr>
        <w:t>L’audience constitue l’un des critères essentiels permettant d’établir la représentativité d’une organisation syndicale</w:t>
      </w:r>
      <w:r w:rsidR="002D51B2">
        <w:rPr>
          <w:rFonts w:ascii="Arial" w:hAnsi="Arial" w:cs="Arial"/>
          <w:iCs/>
        </w:rPr>
        <w:t xml:space="preserve"> et ainsi sa capacité à </w:t>
      </w:r>
      <w:r w:rsidR="002D51B2" w:rsidRPr="001207F6">
        <w:rPr>
          <w:rFonts w:ascii="Arial" w:hAnsi="Arial" w:cs="Arial"/>
          <w:iCs/>
        </w:rPr>
        <w:t>signer des accords collectifs</w:t>
      </w:r>
      <w:r w:rsidRPr="001207F6">
        <w:rPr>
          <w:rFonts w:ascii="Arial" w:hAnsi="Arial" w:cs="Arial"/>
          <w:iCs/>
        </w:rPr>
        <w:t>. Au niveau national et interprofessionnel, comme au niveau des branches professionnelles, une organisation syndicale doit recueillir au moins 8% des suffrages exprimés</w:t>
      </w:r>
      <w:r>
        <w:rPr>
          <w:rFonts w:ascii="Arial" w:hAnsi="Arial" w:cs="Arial"/>
          <w:iCs/>
        </w:rPr>
        <w:t>.</w:t>
      </w:r>
    </w:p>
    <w:p w14:paraId="54B6FAB3" w14:textId="77777777" w:rsidR="00C279FB" w:rsidRDefault="00C279FB" w:rsidP="00D851F1">
      <w:pPr>
        <w:spacing w:after="60"/>
        <w:jc w:val="both"/>
        <w:rPr>
          <w:rFonts w:ascii="Arial" w:hAnsi="Arial" w:cs="Arial"/>
          <w:iCs/>
        </w:rPr>
      </w:pPr>
    </w:p>
    <w:p w14:paraId="788C253C" w14:textId="77777777" w:rsidR="00C279FB" w:rsidRPr="001242AC" w:rsidRDefault="00C279FB" w:rsidP="00D851F1">
      <w:pPr>
        <w:jc w:val="both"/>
        <w:rPr>
          <w:rFonts w:ascii="Arial" w:hAnsi="Arial" w:cs="Arial"/>
          <w:iCs/>
        </w:rPr>
      </w:pPr>
      <w:r w:rsidRPr="001242AC">
        <w:rPr>
          <w:rFonts w:ascii="Arial" w:hAnsi="Arial" w:cs="Arial"/>
          <w:iCs/>
        </w:rPr>
        <w:t>Au niveau national et interprofessionnel</w:t>
      </w:r>
      <w:r w:rsidRPr="00A74C15">
        <w:rPr>
          <w:rFonts w:ascii="Arial" w:hAnsi="Arial" w:cs="Arial"/>
          <w:iCs/>
        </w:rPr>
        <w:t>, 5</w:t>
      </w:r>
      <w:r w:rsidRPr="001242AC">
        <w:rPr>
          <w:rFonts w:ascii="Arial" w:hAnsi="Arial" w:cs="Arial"/>
          <w:iCs/>
        </w:rPr>
        <w:t xml:space="preserve"> organisations atteignent ce score :</w:t>
      </w:r>
    </w:p>
    <w:p w14:paraId="337D77B1" w14:textId="3FE06729" w:rsidR="00C279FB" w:rsidRPr="00A74C15" w:rsidRDefault="00C279FB" w:rsidP="00D851F1">
      <w:pPr>
        <w:pStyle w:val="Paragraphedeliste"/>
        <w:numPr>
          <w:ilvl w:val="0"/>
          <w:numId w:val="1"/>
        </w:numPr>
        <w:spacing w:line="240" w:lineRule="auto"/>
        <w:jc w:val="both"/>
        <w:rPr>
          <w:b/>
          <w:iCs/>
        </w:rPr>
      </w:pPr>
      <w:r w:rsidRPr="00A74C15">
        <w:rPr>
          <w:b/>
          <w:iCs/>
        </w:rPr>
        <w:t xml:space="preserve">CFDT : </w:t>
      </w:r>
      <w:r w:rsidR="00A74C15" w:rsidRPr="00A74C15">
        <w:rPr>
          <w:b/>
          <w:iCs/>
        </w:rPr>
        <w:t>26,77%</w:t>
      </w:r>
    </w:p>
    <w:p w14:paraId="6F6595BE" w14:textId="651F380A" w:rsidR="00C279FB" w:rsidRPr="00A74C15" w:rsidRDefault="00C279FB" w:rsidP="00A74C15">
      <w:pPr>
        <w:pStyle w:val="Paragraphedeliste"/>
        <w:numPr>
          <w:ilvl w:val="0"/>
          <w:numId w:val="1"/>
        </w:numPr>
        <w:spacing w:line="240" w:lineRule="auto"/>
        <w:jc w:val="both"/>
        <w:rPr>
          <w:b/>
          <w:iCs/>
        </w:rPr>
      </w:pPr>
      <w:r w:rsidRPr="00D851F1">
        <w:rPr>
          <w:b/>
          <w:iCs/>
        </w:rPr>
        <w:t>CGT :</w:t>
      </w:r>
      <w:r w:rsidRPr="00A74C15">
        <w:rPr>
          <w:b/>
          <w:iCs/>
        </w:rPr>
        <w:t xml:space="preserve"> </w:t>
      </w:r>
      <w:r w:rsidR="00A74C15" w:rsidRPr="00A74C15">
        <w:rPr>
          <w:b/>
          <w:iCs/>
        </w:rPr>
        <w:t>22,96%</w:t>
      </w:r>
    </w:p>
    <w:p w14:paraId="272E8F10" w14:textId="4C1BC918" w:rsidR="00C279FB" w:rsidRPr="00A74C15" w:rsidRDefault="00C279FB" w:rsidP="00A74C15">
      <w:pPr>
        <w:pStyle w:val="Paragraphedeliste"/>
        <w:numPr>
          <w:ilvl w:val="0"/>
          <w:numId w:val="1"/>
        </w:numPr>
        <w:spacing w:line="240" w:lineRule="auto"/>
        <w:jc w:val="both"/>
        <w:rPr>
          <w:b/>
          <w:iCs/>
        </w:rPr>
      </w:pPr>
      <w:r w:rsidRPr="00A74C15">
        <w:rPr>
          <w:b/>
          <w:iCs/>
        </w:rPr>
        <w:t xml:space="preserve">FO : </w:t>
      </w:r>
      <w:r w:rsidR="00A74C15" w:rsidRPr="00A74C15">
        <w:rPr>
          <w:b/>
          <w:iCs/>
        </w:rPr>
        <w:t>15,24%</w:t>
      </w:r>
    </w:p>
    <w:p w14:paraId="40332829" w14:textId="473851FD" w:rsidR="00C279FB" w:rsidRPr="00A74C15" w:rsidRDefault="00C279FB" w:rsidP="00A74C15">
      <w:pPr>
        <w:pStyle w:val="Paragraphedeliste"/>
        <w:numPr>
          <w:ilvl w:val="0"/>
          <w:numId w:val="1"/>
        </w:numPr>
        <w:spacing w:line="240" w:lineRule="auto"/>
        <w:jc w:val="both"/>
        <w:rPr>
          <w:b/>
          <w:iCs/>
        </w:rPr>
      </w:pPr>
      <w:r w:rsidRPr="00A74C15">
        <w:rPr>
          <w:b/>
          <w:iCs/>
        </w:rPr>
        <w:t xml:space="preserve">CFE-CGC : </w:t>
      </w:r>
      <w:r w:rsidR="00A74C15" w:rsidRPr="00A74C15">
        <w:rPr>
          <w:b/>
          <w:iCs/>
        </w:rPr>
        <w:t>11,92%</w:t>
      </w:r>
    </w:p>
    <w:p w14:paraId="05989473" w14:textId="26365CC6" w:rsidR="00C279FB" w:rsidRPr="00A74C15" w:rsidRDefault="00C279FB" w:rsidP="00A74C15">
      <w:pPr>
        <w:pStyle w:val="Paragraphedeliste"/>
        <w:numPr>
          <w:ilvl w:val="0"/>
          <w:numId w:val="1"/>
        </w:numPr>
        <w:spacing w:line="240" w:lineRule="auto"/>
        <w:jc w:val="both"/>
        <w:rPr>
          <w:b/>
          <w:iCs/>
        </w:rPr>
      </w:pPr>
      <w:r w:rsidRPr="00A74C15">
        <w:rPr>
          <w:b/>
          <w:iCs/>
        </w:rPr>
        <w:t xml:space="preserve">CFTC : </w:t>
      </w:r>
      <w:r w:rsidR="00A74C15" w:rsidRPr="00A74C15">
        <w:rPr>
          <w:b/>
          <w:iCs/>
        </w:rPr>
        <w:t>9,50%</w:t>
      </w:r>
    </w:p>
    <w:p w14:paraId="47F8FA33" w14:textId="77777777" w:rsidR="00C279FB" w:rsidRDefault="00C279FB" w:rsidP="00026FFE">
      <w:pPr>
        <w:spacing w:after="60"/>
        <w:jc w:val="both"/>
        <w:rPr>
          <w:rFonts w:ascii="Arial" w:hAnsi="Arial" w:cs="Arial"/>
          <w:iCs/>
        </w:rPr>
      </w:pPr>
    </w:p>
    <w:p w14:paraId="4AF240DE" w14:textId="32F2B865" w:rsidR="0058577B" w:rsidRPr="001242AC" w:rsidRDefault="0058577B" w:rsidP="00026FFE">
      <w:pPr>
        <w:spacing w:after="60"/>
        <w:jc w:val="both"/>
        <w:rPr>
          <w:rFonts w:ascii="Arial" w:hAnsi="Arial" w:cs="Arial"/>
        </w:rPr>
      </w:pPr>
      <w:r w:rsidRPr="001242AC">
        <w:rPr>
          <w:rFonts w:ascii="Arial" w:hAnsi="Arial" w:cs="Arial"/>
        </w:rPr>
        <w:t xml:space="preserve">Les chiffres </w:t>
      </w:r>
      <w:r w:rsidR="00C279FB">
        <w:rPr>
          <w:rFonts w:ascii="Arial" w:hAnsi="Arial" w:cs="Arial"/>
        </w:rPr>
        <w:t>de mesure de l’audience</w:t>
      </w:r>
      <w:r w:rsidR="00C279FB" w:rsidRPr="001242AC">
        <w:rPr>
          <w:rFonts w:ascii="Arial" w:hAnsi="Arial" w:cs="Arial"/>
        </w:rPr>
        <w:t xml:space="preserve"> </w:t>
      </w:r>
      <w:r w:rsidRPr="001242AC">
        <w:rPr>
          <w:rFonts w:ascii="Arial" w:hAnsi="Arial" w:cs="Arial"/>
        </w:rPr>
        <w:t>sont le résultat de l’agrégation des scores enregistrés par les organisations syndicales sur le cycle 2017-2021 lors :</w:t>
      </w:r>
    </w:p>
    <w:p w14:paraId="4AAF6229" w14:textId="2498B9EF" w:rsidR="0058577B" w:rsidRPr="001242AC" w:rsidRDefault="0058577B" w:rsidP="00026FFE">
      <w:pPr>
        <w:pStyle w:val="Paragraphedeliste"/>
        <w:numPr>
          <w:ilvl w:val="0"/>
          <w:numId w:val="2"/>
        </w:numPr>
        <w:spacing w:after="60" w:line="240" w:lineRule="auto"/>
        <w:jc w:val="both"/>
      </w:pPr>
      <w:r w:rsidRPr="001242AC">
        <w:t xml:space="preserve">des élections professionnelles (Comité social et économique </w:t>
      </w:r>
      <w:r w:rsidR="00911272">
        <w:t>-</w:t>
      </w:r>
      <w:r w:rsidR="00911272" w:rsidRPr="001242AC">
        <w:t xml:space="preserve"> </w:t>
      </w:r>
      <w:r w:rsidRPr="001242AC">
        <w:t>CSE) organisées dans les entreprises d’au moins 11 salariés entre le 1</w:t>
      </w:r>
      <w:r w:rsidRPr="001242AC">
        <w:rPr>
          <w:vertAlign w:val="superscript"/>
        </w:rPr>
        <w:t>er</w:t>
      </w:r>
      <w:r w:rsidRPr="001242AC">
        <w:t xml:space="preserve"> janvier 2017 et le 31 décembre 2020 ;</w:t>
      </w:r>
    </w:p>
    <w:p w14:paraId="45558CBF" w14:textId="77777777" w:rsidR="0058577B" w:rsidRPr="001242AC" w:rsidRDefault="0058577B" w:rsidP="00026FFE">
      <w:pPr>
        <w:pStyle w:val="Paragraphedeliste"/>
        <w:numPr>
          <w:ilvl w:val="0"/>
          <w:numId w:val="2"/>
        </w:numPr>
        <w:spacing w:after="60" w:line="240" w:lineRule="auto"/>
        <w:jc w:val="both"/>
        <w:rPr>
          <w:iCs/>
        </w:rPr>
      </w:pPr>
      <w:r w:rsidRPr="001242AC">
        <w:t xml:space="preserve">de l’élection syndicale TPE, organisée auprès des salariés des entreprises de moins de 11 salariés et des employés à domicile, qui s’est tenue </w:t>
      </w:r>
      <w:r w:rsidRPr="001242AC">
        <w:rPr>
          <w:iCs/>
        </w:rPr>
        <w:t>du 22 mars au 6 avril 2021 ;</w:t>
      </w:r>
    </w:p>
    <w:p w14:paraId="7E054AA8" w14:textId="77777777" w:rsidR="0058577B" w:rsidRPr="001242AC" w:rsidRDefault="0058577B" w:rsidP="00026FFE">
      <w:pPr>
        <w:pStyle w:val="Paragraphedeliste"/>
        <w:numPr>
          <w:ilvl w:val="0"/>
          <w:numId w:val="2"/>
        </w:numPr>
        <w:spacing w:after="60" w:line="240" w:lineRule="auto"/>
        <w:jc w:val="both"/>
        <w:rPr>
          <w:iCs/>
        </w:rPr>
      </w:pPr>
      <w:r w:rsidRPr="001242AC">
        <w:rPr>
          <w:iCs/>
        </w:rPr>
        <w:lastRenderedPageBreak/>
        <w:t>et des élections aux chambres départementales d’agriculture, pour les salariés de la production agricole, qui se sont déroulées en janvier 2019.</w:t>
      </w:r>
    </w:p>
    <w:p w14:paraId="2C0E15FB" w14:textId="77777777" w:rsidR="0058577B" w:rsidRPr="001242AC" w:rsidRDefault="0058577B" w:rsidP="00CC0354">
      <w:pPr>
        <w:jc w:val="both"/>
        <w:rPr>
          <w:rFonts w:ascii="Arial" w:hAnsi="Arial" w:cs="Arial"/>
          <w:iCs/>
        </w:rPr>
      </w:pPr>
    </w:p>
    <w:p w14:paraId="1CA5E904" w14:textId="7E3E6053" w:rsidR="0058577B" w:rsidRPr="001242AC" w:rsidRDefault="00C279FB" w:rsidP="00CC0354">
      <w:pPr>
        <w:jc w:val="both"/>
        <w:rPr>
          <w:rFonts w:ascii="Arial" w:hAnsi="Arial" w:cs="Arial"/>
        </w:rPr>
      </w:pPr>
      <w:r w:rsidRPr="002D51B2">
        <w:rPr>
          <w:rFonts w:ascii="Arial" w:hAnsi="Arial" w:cs="Arial"/>
          <w:b/>
          <w:iCs/>
        </w:rPr>
        <w:t xml:space="preserve">Au total, </w:t>
      </w:r>
      <w:r w:rsidR="00A74C15" w:rsidRPr="00A74C15">
        <w:rPr>
          <w:rFonts w:ascii="Arial" w:hAnsi="Arial" w:cs="Arial"/>
          <w:b/>
          <w:iCs/>
        </w:rPr>
        <w:t>5 398</w:t>
      </w:r>
      <w:r w:rsidR="00A74C15">
        <w:rPr>
          <w:rFonts w:ascii="Arial" w:hAnsi="Arial" w:cs="Arial"/>
          <w:b/>
          <w:iCs/>
        </w:rPr>
        <w:t> </w:t>
      </w:r>
      <w:r w:rsidR="00A74C15" w:rsidRPr="00A74C15">
        <w:rPr>
          <w:rFonts w:ascii="Arial" w:hAnsi="Arial" w:cs="Arial"/>
          <w:b/>
          <w:iCs/>
        </w:rPr>
        <w:t>796</w:t>
      </w:r>
      <w:r w:rsidR="00A74C15">
        <w:rPr>
          <w:rFonts w:ascii="Arial" w:hAnsi="Arial" w:cs="Arial"/>
          <w:b/>
          <w:iCs/>
        </w:rPr>
        <w:t xml:space="preserve"> </w:t>
      </w:r>
      <w:r w:rsidR="0058577B" w:rsidRPr="001242AC">
        <w:rPr>
          <w:rFonts w:ascii="Arial" w:hAnsi="Arial" w:cs="Arial"/>
          <w:b/>
          <w:iCs/>
        </w:rPr>
        <w:t xml:space="preserve">salariés ont </w:t>
      </w:r>
      <w:r w:rsidR="00026FFE" w:rsidRPr="001242AC">
        <w:rPr>
          <w:rFonts w:ascii="Arial" w:hAnsi="Arial" w:cs="Arial"/>
          <w:b/>
          <w:iCs/>
        </w:rPr>
        <w:t>voté lors de</w:t>
      </w:r>
      <w:r w:rsidR="0058577B" w:rsidRPr="001242AC">
        <w:rPr>
          <w:rFonts w:ascii="Arial" w:hAnsi="Arial" w:cs="Arial"/>
          <w:b/>
          <w:iCs/>
        </w:rPr>
        <w:t xml:space="preserve"> ces différents scrutins.</w:t>
      </w:r>
      <w:r w:rsidR="00026FFE" w:rsidRPr="001242AC">
        <w:rPr>
          <w:rFonts w:ascii="Arial" w:hAnsi="Arial" w:cs="Arial"/>
          <w:b/>
        </w:rPr>
        <w:t xml:space="preserve"> </w:t>
      </w:r>
      <w:r w:rsidR="0058577B" w:rsidRPr="001242AC">
        <w:rPr>
          <w:rFonts w:ascii="Arial" w:hAnsi="Arial" w:cs="Arial"/>
        </w:rPr>
        <w:t xml:space="preserve">Plus </w:t>
      </w:r>
      <w:r w:rsidR="0058577B" w:rsidRPr="00D851F1">
        <w:rPr>
          <w:rFonts w:ascii="Arial" w:hAnsi="Arial" w:cs="Arial"/>
        </w:rPr>
        <w:t>de 65 000 procès</w:t>
      </w:r>
      <w:r w:rsidR="0058577B" w:rsidRPr="001242AC">
        <w:rPr>
          <w:rFonts w:ascii="Arial" w:hAnsi="Arial" w:cs="Arial"/>
        </w:rPr>
        <w:t xml:space="preserve">-verbaux d’élections </w:t>
      </w:r>
      <w:r w:rsidR="00911272">
        <w:rPr>
          <w:rFonts w:ascii="Arial" w:hAnsi="Arial" w:cs="Arial"/>
        </w:rPr>
        <w:t>de comités sociaux et économiques ont été</w:t>
      </w:r>
      <w:r w:rsidR="0058577B" w:rsidRPr="001242AC">
        <w:rPr>
          <w:rFonts w:ascii="Arial" w:hAnsi="Arial" w:cs="Arial"/>
        </w:rPr>
        <w:t xml:space="preserve"> pris en compte. Ce volume est constant par rapport à 2017, </w:t>
      </w:r>
      <w:r w:rsidR="00911272">
        <w:rPr>
          <w:rFonts w:ascii="Arial" w:hAnsi="Arial" w:cs="Arial"/>
        </w:rPr>
        <w:t xml:space="preserve">tandis que depuis </w:t>
      </w:r>
      <w:r w:rsidR="006B08AC">
        <w:rPr>
          <w:rFonts w:ascii="Arial" w:hAnsi="Arial" w:cs="Arial"/>
        </w:rPr>
        <w:t>les différentes instances</w:t>
      </w:r>
      <w:r w:rsidR="0020673A">
        <w:rPr>
          <w:rFonts w:ascii="Arial" w:hAnsi="Arial" w:cs="Arial"/>
        </w:rPr>
        <w:t xml:space="preserve"> de représentation du personnel</w:t>
      </w:r>
      <w:r w:rsidR="006B08AC">
        <w:rPr>
          <w:rFonts w:ascii="Arial" w:hAnsi="Arial" w:cs="Arial"/>
        </w:rPr>
        <w:t xml:space="preserve"> ont été fusionnées au sein d’une instance unique de dialogue social, le CSE, </w:t>
      </w:r>
      <w:r>
        <w:rPr>
          <w:rFonts w:ascii="Arial" w:hAnsi="Arial" w:cs="Arial"/>
        </w:rPr>
        <w:t>qui devait être mis en place dans toutes les entreprises d’au moins 11 salariés</w:t>
      </w:r>
      <w:r w:rsidR="006B08AC">
        <w:rPr>
          <w:rFonts w:ascii="Arial" w:hAnsi="Arial" w:cs="Arial"/>
        </w:rPr>
        <w:t xml:space="preserve"> au 31 décembre 2019</w:t>
      </w:r>
      <w:r w:rsidR="0058577B" w:rsidRPr="001242AC">
        <w:rPr>
          <w:rFonts w:ascii="Arial" w:hAnsi="Arial" w:cs="Arial"/>
        </w:rPr>
        <w:t>.</w:t>
      </w:r>
    </w:p>
    <w:p w14:paraId="66627C8F" w14:textId="77777777" w:rsidR="0058577B" w:rsidRPr="001242AC" w:rsidRDefault="0058577B" w:rsidP="00CC0354">
      <w:pPr>
        <w:jc w:val="both"/>
        <w:rPr>
          <w:rFonts w:ascii="Arial" w:hAnsi="Arial" w:cs="Arial"/>
          <w:iCs/>
        </w:rPr>
      </w:pPr>
    </w:p>
    <w:p w14:paraId="48AD069F" w14:textId="6A208F3B" w:rsidR="0058577B" w:rsidRPr="001242AC" w:rsidRDefault="002D51B2" w:rsidP="00CC0354">
      <w:pPr>
        <w:jc w:val="both"/>
        <w:rPr>
          <w:rFonts w:ascii="Arial" w:hAnsi="Arial" w:cs="Arial"/>
          <w:highlight w:val="lightGray"/>
        </w:rPr>
      </w:pPr>
      <w:r>
        <w:rPr>
          <w:rFonts w:ascii="Arial" w:hAnsi="Arial" w:cs="Arial"/>
        </w:rPr>
        <w:t xml:space="preserve">La </w:t>
      </w:r>
      <w:r w:rsidR="0058577B" w:rsidRPr="001242AC">
        <w:rPr>
          <w:rFonts w:ascii="Arial" w:hAnsi="Arial" w:cs="Arial"/>
        </w:rPr>
        <w:t>mesure</w:t>
      </w:r>
      <w:r w:rsidR="007C7A38" w:rsidRPr="001242AC">
        <w:rPr>
          <w:rFonts w:ascii="Arial" w:hAnsi="Arial" w:cs="Arial"/>
        </w:rPr>
        <w:t xml:space="preserve"> </w:t>
      </w:r>
      <w:r>
        <w:rPr>
          <w:rFonts w:ascii="Arial" w:hAnsi="Arial" w:cs="Arial"/>
        </w:rPr>
        <w:t xml:space="preserve">de l’audience des syndicats </w:t>
      </w:r>
      <w:r w:rsidR="007C7A38" w:rsidRPr="001242AC">
        <w:rPr>
          <w:rFonts w:ascii="Arial" w:hAnsi="Arial" w:cs="Arial"/>
        </w:rPr>
        <w:t xml:space="preserve">est </w:t>
      </w:r>
      <w:r w:rsidR="0058577B" w:rsidRPr="001242AC">
        <w:rPr>
          <w:rFonts w:ascii="Arial" w:hAnsi="Arial" w:cs="Arial"/>
        </w:rPr>
        <w:t xml:space="preserve">le fruit d’un </w:t>
      </w:r>
      <w:r w:rsidR="0058577B" w:rsidRPr="001242AC">
        <w:rPr>
          <w:rFonts w:ascii="Arial" w:hAnsi="Arial" w:cs="Arial"/>
          <w:b/>
        </w:rPr>
        <w:t>processus continu de concertation avec les partenaires sociaux membres du HCDS</w:t>
      </w:r>
      <w:r w:rsidRPr="001242AC">
        <w:rPr>
          <w:rFonts w:ascii="Arial" w:hAnsi="Arial" w:cs="Arial"/>
          <w:b/>
        </w:rPr>
        <w:t xml:space="preserve"> qui garantit sa transparence</w:t>
      </w:r>
      <w:r w:rsidR="007C7A38" w:rsidRPr="001242AC">
        <w:rPr>
          <w:rFonts w:ascii="Arial" w:hAnsi="Arial" w:cs="Arial"/>
          <w:b/>
        </w:rPr>
        <w:t>.</w:t>
      </w:r>
      <w:r w:rsidR="007C7A38" w:rsidRPr="001242AC">
        <w:rPr>
          <w:rFonts w:ascii="Arial" w:hAnsi="Arial" w:cs="Arial"/>
        </w:rPr>
        <w:t xml:space="preserve"> Ainsi, entre le 1</w:t>
      </w:r>
      <w:r w:rsidR="007C7A38" w:rsidRPr="001242AC">
        <w:rPr>
          <w:rFonts w:ascii="Arial" w:hAnsi="Arial" w:cs="Arial"/>
          <w:vertAlign w:val="superscript"/>
        </w:rPr>
        <w:t>er</w:t>
      </w:r>
      <w:r w:rsidR="007C7A38" w:rsidRPr="001242AC">
        <w:rPr>
          <w:rFonts w:ascii="Arial" w:hAnsi="Arial" w:cs="Arial"/>
        </w:rPr>
        <w:t xml:space="preserve"> janvier 2017 et le 26 mai 2021, le HCDS s’est réuni à 2</w:t>
      </w:r>
      <w:r w:rsidR="001242AC">
        <w:rPr>
          <w:rFonts w:ascii="Arial" w:hAnsi="Arial" w:cs="Arial"/>
        </w:rPr>
        <w:t>7</w:t>
      </w:r>
      <w:r w:rsidR="007C7A38" w:rsidRPr="001242AC">
        <w:rPr>
          <w:rFonts w:ascii="Arial" w:hAnsi="Arial" w:cs="Arial"/>
        </w:rPr>
        <w:t xml:space="preserve"> reprises et son groupe de suivi technique à 34 reprises</w:t>
      </w:r>
      <w:r w:rsidR="0058577B" w:rsidRPr="001242AC">
        <w:rPr>
          <w:rFonts w:ascii="Arial" w:hAnsi="Arial" w:cs="Arial"/>
        </w:rPr>
        <w:t xml:space="preserve">. </w:t>
      </w:r>
      <w:r>
        <w:rPr>
          <w:rFonts w:ascii="Arial" w:hAnsi="Arial" w:cs="Arial"/>
        </w:rPr>
        <w:t>L</w:t>
      </w:r>
      <w:r w:rsidRPr="001207F6">
        <w:rPr>
          <w:rFonts w:ascii="Arial" w:hAnsi="Arial" w:cs="Arial"/>
        </w:rPr>
        <w:t>’ensemble des procès-verbaux d’élections pris en compte dans la mesure d’audience</w:t>
      </w:r>
      <w:r w:rsidRPr="00911272" w:rsidDel="002D51B2">
        <w:rPr>
          <w:rFonts w:ascii="Arial" w:hAnsi="Arial" w:cs="Arial"/>
        </w:rPr>
        <w:t xml:space="preserve"> </w:t>
      </w:r>
      <w:r>
        <w:rPr>
          <w:rFonts w:ascii="Arial" w:hAnsi="Arial" w:cs="Arial"/>
        </w:rPr>
        <w:t xml:space="preserve">est consultable </w:t>
      </w:r>
      <w:r w:rsidR="0058577B" w:rsidRPr="001242AC">
        <w:rPr>
          <w:rFonts w:ascii="Arial" w:hAnsi="Arial" w:cs="Arial"/>
        </w:rPr>
        <w:t>via le site internet grand public dédié</w:t>
      </w:r>
      <w:r w:rsidR="00D851F1">
        <w:rPr>
          <w:rFonts w:ascii="Arial" w:hAnsi="Arial" w:cs="Arial"/>
        </w:rPr>
        <w:t xml:space="preserve">, </w:t>
      </w:r>
      <w:hyperlink r:id="rId9" w:history="1">
        <w:r w:rsidRPr="001242AC">
          <w:rPr>
            <w:rStyle w:val="Lienhypertexte"/>
            <w:rFonts w:ascii="Arial" w:hAnsi="Arial" w:cs="Arial"/>
          </w:rPr>
          <w:t>www.elections-professionnelles.travail.gouv.fr</w:t>
        </w:r>
      </w:hyperlink>
      <w:r w:rsidR="0058577B" w:rsidRPr="001242AC">
        <w:rPr>
          <w:rFonts w:ascii="Arial" w:hAnsi="Arial" w:cs="Arial"/>
        </w:rPr>
        <w:t>.</w:t>
      </w:r>
      <w:r>
        <w:rPr>
          <w:rFonts w:ascii="Arial" w:hAnsi="Arial" w:cs="Arial"/>
        </w:rPr>
        <w:t xml:space="preserve"> C</w:t>
      </w:r>
      <w:r w:rsidR="0058577B" w:rsidRPr="001242AC">
        <w:rPr>
          <w:rFonts w:ascii="Arial" w:hAnsi="Arial" w:cs="Arial"/>
        </w:rPr>
        <w:t xml:space="preserve">hacun des procès-verbaux retenus dans le cadre de la mesure de l’audience a fait </w:t>
      </w:r>
      <w:r>
        <w:rPr>
          <w:rFonts w:ascii="Arial" w:hAnsi="Arial" w:cs="Arial"/>
        </w:rPr>
        <w:t xml:space="preserve">par ailleurs </w:t>
      </w:r>
      <w:r w:rsidR="0058577B" w:rsidRPr="001242AC">
        <w:rPr>
          <w:rFonts w:ascii="Arial" w:hAnsi="Arial" w:cs="Arial"/>
        </w:rPr>
        <w:t>l’objet de plus de 90 points de contrôle afin de vérifier sa conformité et de garantir la fiabilité et la robustesse de la mesure.</w:t>
      </w:r>
      <w:r w:rsidR="0058577B" w:rsidRPr="001242AC">
        <w:rPr>
          <w:rFonts w:ascii="Arial" w:hAnsi="Arial" w:cs="Arial"/>
          <w:highlight w:val="lightGray"/>
        </w:rPr>
        <w:t xml:space="preserve">  </w:t>
      </w:r>
    </w:p>
    <w:p w14:paraId="226B7E34" w14:textId="77777777" w:rsidR="002D51B2" w:rsidRDefault="002D51B2" w:rsidP="0058577B">
      <w:pPr>
        <w:rPr>
          <w:rFonts w:ascii="Arial" w:hAnsi="Arial" w:cs="Arial"/>
          <w:b/>
          <w:iCs/>
          <w:highlight w:val="lightGray"/>
        </w:rPr>
      </w:pPr>
    </w:p>
    <w:p w14:paraId="55719323" w14:textId="3CD17B00" w:rsidR="001A7152" w:rsidRPr="001242AC" w:rsidRDefault="002D51B2" w:rsidP="001A7152">
      <w:pPr>
        <w:jc w:val="both"/>
        <w:rPr>
          <w:rFonts w:ascii="Arial" w:hAnsi="Arial" w:cs="Arial"/>
          <w:iCs/>
        </w:rPr>
      </w:pPr>
      <w:r w:rsidRPr="001242AC">
        <w:rPr>
          <w:rFonts w:ascii="Arial" w:hAnsi="Arial" w:cs="Arial"/>
          <w:iCs/>
        </w:rPr>
        <w:t xml:space="preserve">Outre leur audience, les organisations syndicales </w:t>
      </w:r>
      <w:r w:rsidRPr="002D51B2">
        <w:rPr>
          <w:rFonts w:ascii="Arial" w:hAnsi="Arial" w:cs="Arial"/>
          <w:iCs/>
        </w:rPr>
        <w:t>doivent</w:t>
      </w:r>
      <w:r>
        <w:rPr>
          <w:rFonts w:ascii="Arial" w:hAnsi="Arial" w:cs="Arial"/>
          <w:b/>
          <w:iCs/>
        </w:rPr>
        <w:t xml:space="preserve"> </w:t>
      </w:r>
      <w:r w:rsidRPr="001207F6">
        <w:rPr>
          <w:rFonts w:ascii="Arial" w:hAnsi="Arial" w:cs="Arial"/>
          <w:iCs/>
        </w:rPr>
        <w:t xml:space="preserve">satisfaire </w:t>
      </w:r>
      <w:r>
        <w:rPr>
          <w:rFonts w:ascii="Arial" w:hAnsi="Arial" w:cs="Arial"/>
          <w:iCs/>
        </w:rPr>
        <w:t>à plusieurs autres critères </w:t>
      </w:r>
      <w:r w:rsidRPr="001207F6">
        <w:rPr>
          <w:rFonts w:ascii="Arial" w:hAnsi="Arial" w:cs="Arial"/>
          <w:iCs/>
        </w:rPr>
        <w:t>pour pouvoir être représentatives</w:t>
      </w:r>
      <w:r>
        <w:rPr>
          <w:rFonts w:ascii="Arial" w:hAnsi="Arial" w:cs="Arial"/>
          <w:iCs/>
        </w:rPr>
        <w:t xml:space="preserve"> : </w:t>
      </w:r>
      <w:r w:rsidRPr="001207F6">
        <w:rPr>
          <w:rFonts w:ascii="Arial" w:hAnsi="Arial" w:cs="Arial"/>
          <w:iCs/>
        </w:rPr>
        <w:t>respect des valeurs républicaines, indépendance, transparence financière, ancienneté de deux ans, influence, effectifs d’adhérents et cotisations</w:t>
      </w:r>
      <w:r>
        <w:rPr>
          <w:rFonts w:ascii="Arial" w:hAnsi="Arial" w:cs="Arial"/>
          <w:iCs/>
        </w:rPr>
        <w:t xml:space="preserve">. Une dernière phase de contrôle va ainsi s’engager et </w:t>
      </w:r>
      <w:r w:rsidR="001A7152" w:rsidRPr="001242AC">
        <w:rPr>
          <w:rFonts w:ascii="Arial" w:hAnsi="Arial" w:cs="Arial"/>
          <w:iCs/>
        </w:rPr>
        <w:t xml:space="preserve">les organisations syndicales concernées vont pouvoir déposer les pièces nécessaires à l’étude de leur dossier en ligne, sur une plate-forme dédiée et sécurisée. </w:t>
      </w:r>
    </w:p>
    <w:p w14:paraId="2A361932" w14:textId="77777777" w:rsidR="005055ED" w:rsidRDefault="005055ED" w:rsidP="001A7152">
      <w:pPr>
        <w:jc w:val="both"/>
        <w:rPr>
          <w:rFonts w:ascii="Arial" w:hAnsi="Arial" w:cs="Arial"/>
          <w:iCs/>
        </w:rPr>
      </w:pPr>
    </w:p>
    <w:p w14:paraId="012688B3" w14:textId="3D64D9F5" w:rsidR="001A7152" w:rsidRPr="001242AC" w:rsidRDefault="001A7152" w:rsidP="001A7152">
      <w:pPr>
        <w:jc w:val="both"/>
        <w:rPr>
          <w:rFonts w:ascii="Arial" w:hAnsi="Arial" w:cs="Arial"/>
        </w:rPr>
      </w:pPr>
      <w:r w:rsidRPr="001242AC">
        <w:rPr>
          <w:rFonts w:ascii="Arial" w:hAnsi="Arial" w:cs="Arial"/>
          <w:b/>
          <w:iCs/>
        </w:rPr>
        <w:t xml:space="preserve">A l’issue de cette </w:t>
      </w:r>
      <w:r w:rsidR="006409D8" w:rsidRPr="001242AC">
        <w:rPr>
          <w:rFonts w:ascii="Arial" w:hAnsi="Arial" w:cs="Arial"/>
          <w:b/>
          <w:iCs/>
        </w:rPr>
        <w:t xml:space="preserve">ultime </w:t>
      </w:r>
      <w:r w:rsidRPr="001242AC">
        <w:rPr>
          <w:rFonts w:ascii="Arial" w:hAnsi="Arial" w:cs="Arial"/>
          <w:b/>
          <w:iCs/>
        </w:rPr>
        <w:t>phase de contrôle, le HCDS rendra au mois de juillet un avis sur la liste des organisations syndicales représentatives au niveau national et interprofessionnel, puis, au second semestre, au niveau des différentes branches.</w:t>
      </w:r>
      <w:r w:rsidRPr="001242AC">
        <w:rPr>
          <w:rFonts w:ascii="Arial" w:hAnsi="Arial" w:cs="Arial"/>
          <w:iCs/>
        </w:rPr>
        <w:t xml:space="preserve"> Celles-ci feront ensuite l’objet d’arrêtés de représentativité de la ministre du Travail.</w:t>
      </w:r>
    </w:p>
    <w:p w14:paraId="3E56EC7B" w14:textId="77777777" w:rsidR="008C32EC" w:rsidRPr="001242AC" w:rsidRDefault="008C32EC" w:rsidP="0058577B">
      <w:pPr>
        <w:rPr>
          <w:rFonts w:ascii="Arial" w:hAnsi="Arial" w:cs="Arial"/>
          <w:u w:val="single"/>
        </w:rPr>
      </w:pPr>
    </w:p>
    <w:p w14:paraId="27BB0008" w14:textId="77777777" w:rsidR="001A7152" w:rsidRPr="001242AC" w:rsidRDefault="001A7152" w:rsidP="0058577B">
      <w:pPr>
        <w:rPr>
          <w:rFonts w:ascii="Arial" w:hAnsi="Arial" w:cs="Arial"/>
          <w:u w:val="single"/>
        </w:rPr>
      </w:pPr>
    </w:p>
    <w:p w14:paraId="4BFCED93" w14:textId="77777777" w:rsidR="001A7152" w:rsidRPr="001242AC" w:rsidRDefault="001A7152" w:rsidP="0058577B">
      <w:pPr>
        <w:rPr>
          <w:rFonts w:ascii="Arial" w:hAnsi="Arial" w:cs="Arial"/>
          <w:u w:val="single"/>
        </w:rPr>
      </w:pPr>
    </w:p>
    <w:p w14:paraId="413302DC" w14:textId="77777777" w:rsidR="003E7FE4" w:rsidRPr="001242AC" w:rsidRDefault="0058577B" w:rsidP="0058577B">
      <w:pPr>
        <w:rPr>
          <w:rFonts w:ascii="Arial" w:hAnsi="Arial" w:cs="Arial"/>
        </w:rPr>
      </w:pPr>
      <w:r w:rsidRPr="001242AC">
        <w:rPr>
          <w:rFonts w:ascii="Arial" w:hAnsi="Arial" w:cs="Arial"/>
          <w:u w:val="single"/>
        </w:rPr>
        <w:t>Contact presse</w:t>
      </w:r>
      <w:r w:rsidRPr="001242AC">
        <w:rPr>
          <w:rFonts w:ascii="Arial" w:hAnsi="Arial" w:cs="Arial"/>
        </w:rPr>
        <w:t xml:space="preserve"> : Clémentine Negro - 06 69 41 44 76 - </w:t>
      </w:r>
      <w:hyperlink r:id="rId10" w:history="1">
        <w:r w:rsidRPr="001242AC">
          <w:rPr>
            <w:rStyle w:val="Lienhypertexte"/>
            <w:rFonts w:ascii="Arial" w:hAnsi="Arial" w:cs="Arial"/>
          </w:rPr>
          <w:t>clementine.negro@travail.gouv.fr</w:t>
        </w:r>
      </w:hyperlink>
    </w:p>
    <w:p w14:paraId="5D017F52" w14:textId="77777777" w:rsidR="0058577B" w:rsidRPr="001242AC" w:rsidRDefault="0058577B" w:rsidP="0058577B">
      <w:pPr>
        <w:rPr>
          <w:rFonts w:ascii="Arial" w:hAnsi="Arial" w:cs="Arial"/>
          <w:sz w:val="20"/>
          <w:szCs w:val="20"/>
        </w:rPr>
      </w:pPr>
    </w:p>
    <w:p w14:paraId="1D7E5EFB" w14:textId="77777777" w:rsidR="0058577B" w:rsidRPr="001242AC" w:rsidRDefault="0058577B">
      <w:pPr>
        <w:rPr>
          <w:rFonts w:ascii="Arial" w:hAnsi="Arial" w:cs="Arial"/>
          <w:color w:val="0000FF"/>
          <w:u w:val="single"/>
        </w:rPr>
      </w:pPr>
      <w:r w:rsidRPr="001242AC">
        <w:rPr>
          <w:rFonts w:ascii="Arial" w:hAnsi="Arial" w:cs="Arial"/>
          <w:color w:val="0000FF"/>
          <w:u w:val="single"/>
        </w:rPr>
        <w:br w:type="page"/>
      </w:r>
    </w:p>
    <w:p w14:paraId="57A4573C" w14:textId="77777777" w:rsidR="00A74C15" w:rsidRPr="001242AC" w:rsidRDefault="00A74C15" w:rsidP="00A74C15">
      <w:pPr>
        <w:spacing w:after="160" w:line="259" w:lineRule="auto"/>
        <w:rPr>
          <w:rFonts w:ascii="Arial" w:hAnsi="Arial" w:cs="Arial"/>
          <w:color w:val="0000FF"/>
          <w:u w:val="single"/>
        </w:rPr>
      </w:pPr>
      <w:r w:rsidRPr="001242AC">
        <w:rPr>
          <w:rFonts w:ascii="Arial" w:hAnsi="Arial" w:cs="Arial"/>
          <w:noProof/>
          <w:color w:val="0000FF"/>
          <w:u w:val="single"/>
          <w:lang w:eastAsia="fr-FR"/>
        </w:rPr>
        <w:lastRenderedPageBreak/>
        <mc:AlternateContent>
          <mc:Choice Requires="wps">
            <w:drawing>
              <wp:anchor distT="0" distB="0" distL="114300" distR="114300" simplePos="0" relativeHeight="251659264" behindDoc="0" locked="0" layoutInCell="1" allowOverlap="1" wp14:anchorId="4FAB2E68" wp14:editId="752023AB">
                <wp:simplePos x="0" y="0"/>
                <wp:positionH relativeFrom="column">
                  <wp:posOffset>-2638</wp:posOffset>
                </wp:positionH>
                <wp:positionV relativeFrom="paragraph">
                  <wp:posOffset>99597</wp:posOffset>
                </wp:positionV>
                <wp:extent cx="6119446" cy="466725"/>
                <wp:effectExtent l="0" t="0" r="15240" b="28575"/>
                <wp:wrapNone/>
                <wp:docPr id="2" name="Zone de texte 2"/>
                <wp:cNvGraphicFramePr/>
                <a:graphic xmlns:a="http://schemas.openxmlformats.org/drawingml/2006/main">
                  <a:graphicData uri="http://schemas.microsoft.com/office/word/2010/wordprocessingShape">
                    <wps:wsp>
                      <wps:cNvSpPr txBox="1"/>
                      <wps:spPr>
                        <a:xfrm>
                          <a:off x="0" y="0"/>
                          <a:ext cx="6119446"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CCB4D" w14:textId="77777777" w:rsidR="00A74C15" w:rsidRPr="009516B5" w:rsidRDefault="00A74C15" w:rsidP="00A74C15">
                            <w:pPr>
                              <w:jc w:val="center"/>
                              <w:rPr>
                                <w:rFonts w:ascii="Arial" w:hAnsi="Arial" w:cs="Arial"/>
                                <w:b/>
                              </w:rPr>
                            </w:pPr>
                            <w:r w:rsidRPr="009516B5">
                              <w:rPr>
                                <w:rFonts w:ascii="Arial" w:hAnsi="Arial" w:cs="Arial"/>
                                <w:b/>
                              </w:rPr>
                              <w:t>Résultats du calcul de l’audience syndicale 2021</w:t>
                            </w:r>
                          </w:p>
                          <w:p w14:paraId="5EE022CF" w14:textId="77777777" w:rsidR="00A74C15" w:rsidRPr="009516B5" w:rsidRDefault="00A74C15" w:rsidP="00A74C15">
                            <w:pPr>
                              <w:jc w:val="center"/>
                              <w:rPr>
                                <w:rFonts w:ascii="Arial" w:hAnsi="Arial" w:cs="Arial"/>
                                <w:b/>
                              </w:rPr>
                            </w:pPr>
                            <w:r w:rsidRPr="009516B5">
                              <w:rPr>
                                <w:rFonts w:ascii="Arial" w:hAnsi="Arial" w:cs="Arial"/>
                                <w:b/>
                              </w:rPr>
                              <w:t xml:space="preserve">Niveau national et interprofessionnel </w:t>
                            </w:r>
                            <w:r w:rsidRPr="009516B5">
                              <w:rPr>
                                <w:rFonts w:ascii="Arial" w:hAnsi="Arial" w:cs="Arial"/>
                              </w:rPr>
                              <w:t>(MARS - TPE - Agriculture)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B2E68" id="_x0000_t202" coordsize="21600,21600" o:spt="202" path="m,l,21600r21600,l21600,xe">
                <v:stroke joinstyle="miter"/>
                <v:path gradientshapeok="t" o:connecttype="rect"/>
              </v:shapetype>
              <v:shape id="Zone de texte 2" o:spid="_x0000_s1026" type="#_x0000_t202" style="position:absolute;margin-left:-.2pt;margin-top:7.85pt;width:481.8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" fillcolor="white [3201]" strokeweight=".5pt">
                <v:textbox inset="1mm,1mm,1mm,1mm">
                  <w:txbxContent>
                    <w:p w14:paraId="2D0CCB4D" w14:textId="77777777" w:rsidR="00A74C15" w:rsidRPr="009516B5" w:rsidRDefault="00A74C15" w:rsidP="00A74C15">
                      <w:pPr>
                        <w:jc w:val="center"/>
                        <w:rPr>
                          <w:rFonts w:ascii="Arial" w:hAnsi="Arial" w:cs="Arial"/>
                          <w:b/>
                        </w:rPr>
                      </w:pPr>
                      <w:r w:rsidRPr="009516B5">
                        <w:rPr>
                          <w:rFonts w:ascii="Arial" w:hAnsi="Arial" w:cs="Arial"/>
                          <w:b/>
                        </w:rPr>
                        <w:t>Résultats du calcul de l’audience syndicale 2021</w:t>
                      </w:r>
                    </w:p>
                    <w:p w14:paraId="5EE022CF" w14:textId="77777777" w:rsidR="00A74C15" w:rsidRPr="009516B5" w:rsidRDefault="00A74C15" w:rsidP="00A74C15">
                      <w:pPr>
                        <w:jc w:val="center"/>
                        <w:rPr>
                          <w:rFonts w:ascii="Arial" w:hAnsi="Arial" w:cs="Arial"/>
                          <w:b/>
                        </w:rPr>
                      </w:pPr>
                      <w:r w:rsidRPr="009516B5">
                        <w:rPr>
                          <w:rFonts w:ascii="Arial" w:hAnsi="Arial" w:cs="Arial"/>
                          <w:b/>
                        </w:rPr>
                        <w:t xml:space="preserve">Niveau national et interprofessionnel </w:t>
                      </w:r>
                      <w:r w:rsidRPr="009516B5">
                        <w:rPr>
                          <w:rFonts w:ascii="Arial" w:hAnsi="Arial" w:cs="Arial"/>
                        </w:rPr>
                        <w:t>(MARS - TPE - Agriculture)</w:t>
                      </w:r>
                    </w:p>
                  </w:txbxContent>
                </v:textbox>
              </v:shape>
            </w:pict>
          </mc:Fallback>
        </mc:AlternateContent>
      </w:r>
    </w:p>
    <w:p w14:paraId="56B3722F" w14:textId="77777777" w:rsidR="00A74C15" w:rsidRPr="001242AC" w:rsidRDefault="00A74C15" w:rsidP="00A74C15">
      <w:pPr>
        <w:rPr>
          <w:rFonts w:ascii="Arial" w:hAnsi="Arial" w:cs="Arial"/>
        </w:rPr>
      </w:pPr>
    </w:p>
    <w:p w14:paraId="3D3069AA" w14:textId="77777777" w:rsidR="00A74C15" w:rsidRPr="001242AC" w:rsidRDefault="00A74C15" w:rsidP="00A74C15">
      <w:pPr>
        <w:rPr>
          <w:rFonts w:ascii="Arial" w:hAnsi="Arial" w:cs="Arial"/>
        </w:rPr>
      </w:pPr>
    </w:p>
    <w:p w14:paraId="05526A84" w14:textId="77777777" w:rsidR="00A74C15" w:rsidRDefault="00A74C15" w:rsidP="00A74C15">
      <w:pPr>
        <w:rPr>
          <w:rFonts w:ascii="Arial" w:hAnsi="Arial" w:cs="Arial"/>
        </w:rPr>
      </w:pPr>
    </w:p>
    <w:p w14:paraId="45CCEF91" w14:textId="77777777" w:rsidR="00A74C15" w:rsidRPr="001242AC" w:rsidRDefault="00A74C15" w:rsidP="00A74C15">
      <w:pPr>
        <w:rPr>
          <w:rFonts w:ascii="Arial" w:hAnsi="Arial" w:cs="Arial"/>
        </w:rPr>
      </w:pPr>
    </w:p>
    <w:p w14:paraId="620F6E8E" w14:textId="77777777" w:rsidR="00A74C15" w:rsidRPr="001242AC" w:rsidRDefault="00A74C15" w:rsidP="00A74C15">
      <w:pPr>
        <w:rPr>
          <w:rFonts w:ascii="Arial" w:hAnsi="Arial" w:cs="Arial"/>
        </w:rPr>
      </w:pPr>
    </w:p>
    <w:tbl>
      <w:tblPr>
        <w:tblStyle w:val="Grilledutableau"/>
        <w:tblW w:w="0" w:type="auto"/>
        <w:tblLook w:val="04A0" w:firstRow="1" w:lastRow="0" w:firstColumn="1" w:lastColumn="0" w:noHBand="0" w:noVBand="1"/>
      </w:tblPr>
      <w:tblGrid>
        <w:gridCol w:w="6510"/>
        <w:gridCol w:w="3119"/>
      </w:tblGrid>
      <w:tr w:rsidR="00A74C15" w:rsidRPr="00A32B53" w14:paraId="012AD43E" w14:textId="77777777" w:rsidTr="00D95AFE">
        <w:tc>
          <w:tcPr>
            <w:tcW w:w="7196" w:type="dxa"/>
          </w:tcPr>
          <w:p w14:paraId="05113879" w14:textId="77777777" w:rsidR="00A74C15" w:rsidRPr="001242AC" w:rsidRDefault="00A74C15" w:rsidP="00D95AFE">
            <w:pPr>
              <w:jc w:val="center"/>
              <w:rPr>
                <w:rFonts w:ascii="Arial" w:hAnsi="Arial" w:cs="Arial"/>
                <w:sz w:val="20"/>
              </w:rPr>
            </w:pPr>
            <w:r w:rsidRPr="001242AC">
              <w:rPr>
                <w:rFonts w:ascii="Arial" w:hAnsi="Arial" w:cs="Arial"/>
                <w:sz w:val="20"/>
              </w:rPr>
              <w:t>Nombre de salariés inscrits</w:t>
            </w:r>
            <w:r w:rsidRPr="001242AC">
              <w:rPr>
                <w:rStyle w:val="Appeldenotedefin"/>
                <w:rFonts w:ascii="Arial" w:hAnsi="Arial" w:cs="Arial"/>
                <w:sz w:val="20"/>
              </w:rPr>
              <w:endnoteReference w:id="1"/>
            </w:r>
          </w:p>
        </w:tc>
        <w:tc>
          <w:tcPr>
            <w:tcW w:w="3410" w:type="dxa"/>
          </w:tcPr>
          <w:p w14:paraId="00B0293E" w14:textId="77777777" w:rsidR="00A74C15" w:rsidRPr="00B95F21" w:rsidRDefault="00A74C15" w:rsidP="00D95AFE">
            <w:pPr>
              <w:rPr>
                <w:rFonts w:ascii="Arial" w:hAnsi="Arial" w:cs="Arial"/>
                <w:sz w:val="20"/>
              </w:rPr>
            </w:pPr>
            <w:r w:rsidRPr="00B95F21">
              <w:rPr>
                <w:rFonts w:ascii="Arial" w:hAnsi="Arial" w:cs="Arial"/>
                <w:sz w:val="20"/>
              </w:rPr>
              <w:t>14 118 287</w:t>
            </w:r>
          </w:p>
        </w:tc>
      </w:tr>
      <w:tr w:rsidR="00A74C15" w:rsidRPr="00A32B53" w14:paraId="6E5B17D6" w14:textId="77777777" w:rsidTr="00D95AFE">
        <w:tc>
          <w:tcPr>
            <w:tcW w:w="7196" w:type="dxa"/>
          </w:tcPr>
          <w:p w14:paraId="631D0226" w14:textId="77777777" w:rsidR="00A74C15" w:rsidRPr="001242AC" w:rsidRDefault="00A74C15" w:rsidP="00D95AFE">
            <w:pPr>
              <w:jc w:val="center"/>
              <w:rPr>
                <w:rFonts w:ascii="Arial" w:hAnsi="Arial" w:cs="Arial"/>
                <w:sz w:val="20"/>
              </w:rPr>
            </w:pPr>
            <w:r w:rsidRPr="001242AC">
              <w:rPr>
                <w:rFonts w:ascii="Arial" w:hAnsi="Arial" w:cs="Arial"/>
                <w:sz w:val="20"/>
              </w:rPr>
              <w:t>Nombre de votants</w:t>
            </w:r>
          </w:p>
        </w:tc>
        <w:tc>
          <w:tcPr>
            <w:tcW w:w="3410" w:type="dxa"/>
          </w:tcPr>
          <w:p w14:paraId="6AE856E9" w14:textId="77777777" w:rsidR="00A74C15" w:rsidRPr="00B95F21" w:rsidRDefault="00A74C15" w:rsidP="00D95AFE">
            <w:pPr>
              <w:rPr>
                <w:rFonts w:ascii="Arial" w:hAnsi="Arial" w:cs="Arial"/>
                <w:iCs/>
                <w:sz w:val="20"/>
                <w:szCs w:val="20"/>
              </w:rPr>
            </w:pPr>
            <w:r w:rsidRPr="00B95F21">
              <w:rPr>
                <w:rFonts w:ascii="Arial" w:hAnsi="Arial" w:cs="Arial"/>
                <w:iCs/>
                <w:sz w:val="20"/>
                <w:szCs w:val="20"/>
              </w:rPr>
              <w:t>5 398 796</w:t>
            </w:r>
          </w:p>
        </w:tc>
      </w:tr>
      <w:tr w:rsidR="00A74C15" w:rsidRPr="00A32B53" w14:paraId="201151AF" w14:textId="77777777" w:rsidTr="00D95AFE">
        <w:tc>
          <w:tcPr>
            <w:tcW w:w="7196" w:type="dxa"/>
          </w:tcPr>
          <w:p w14:paraId="37AE5BDD" w14:textId="77777777" w:rsidR="00A74C15" w:rsidRPr="001242AC" w:rsidRDefault="00A74C15" w:rsidP="00D95AFE">
            <w:pPr>
              <w:jc w:val="center"/>
              <w:rPr>
                <w:rFonts w:ascii="Arial" w:hAnsi="Arial" w:cs="Arial"/>
                <w:sz w:val="20"/>
              </w:rPr>
            </w:pPr>
            <w:r w:rsidRPr="001242AC">
              <w:rPr>
                <w:rFonts w:ascii="Arial" w:hAnsi="Arial" w:cs="Arial"/>
                <w:sz w:val="20"/>
              </w:rPr>
              <w:t>Nombre de suffrages valablement exprimés</w:t>
            </w:r>
            <w:r w:rsidRPr="001242AC">
              <w:rPr>
                <w:rStyle w:val="Appeldenotedefin"/>
                <w:rFonts w:ascii="Arial" w:hAnsi="Arial" w:cs="Arial"/>
                <w:sz w:val="20"/>
              </w:rPr>
              <w:endnoteReference w:id="2"/>
            </w:r>
          </w:p>
        </w:tc>
        <w:tc>
          <w:tcPr>
            <w:tcW w:w="3410" w:type="dxa"/>
          </w:tcPr>
          <w:p w14:paraId="3706EF26" w14:textId="77777777" w:rsidR="00A74C15" w:rsidRPr="00B95F21" w:rsidRDefault="00A74C15" w:rsidP="00D95AFE">
            <w:pPr>
              <w:rPr>
                <w:rFonts w:ascii="Arial" w:hAnsi="Arial" w:cs="Arial"/>
                <w:iCs/>
                <w:sz w:val="20"/>
                <w:szCs w:val="20"/>
              </w:rPr>
            </w:pPr>
            <w:r w:rsidRPr="00B95F21">
              <w:rPr>
                <w:rFonts w:ascii="Arial" w:hAnsi="Arial" w:cs="Arial"/>
                <w:iCs/>
                <w:sz w:val="20"/>
                <w:szCs w:val="20"/>
              </w:rPr>
              <w:t>5 016 355</w:t>
            </w:r>
          </w:p>
        </w:tc>
      </w:tr>
      <w:tr w:rsidR="00A74C15" w:rsidRPr="00A32B53" w14:paraId="0BE1C9BF" w14:textId="77777777" w:rsidTr="00D95AFE">
        <w:tc>
          <w:tcPr>
            <w:tcW w:w="7196" w:type="dxa"/>
          </w:tcPr>
          <w:p w14:paraId="537767FC" w14:textId="77777777" w:rsidR="00A74C15" w:rsidRPr="001242AC" w:rsidRDefault="00A74C15" w:rsidP="00D95AFE">
            <w:pPr>
              <w:jc w:val="center"/>
              <w:rPr>
                <w:rFonts w:ascii="Arial" w:hAnsi="Arial" w:cs="Arial"/>
                <w:sz w:val="20"/>
              </w:rPr>
            </w:pPr>
            <w:r w:rsidRPr="001242AC">
              <w:rPr>
                <w:rFonts w:ascii="Arial" w:hAnsi="Arial" w:cs="Arial"/>
                <w:sz w:val="20"/>
              </w:rPr>
              <w:t>Taux de participation</w:t>
            </w:r>
            <w:r w:rsidRPr="001242AC">
              <w:rPr>
                <w:rStyle w:val="Appeldenotedefin"/>
                <w:rFonts w:ascii="Arial" w:hAnsi="Arial" w:cs="Arial"/>
                <w:sz w:val="20"/>
              </w:rPr>
              <w:endnoteReference w:id="3"/>
            </w:r>
          </w:p>
        </w:tc>
        <w:tc>
          <w:tcPr>
            <w:tcW w:w="3410" w:type="dxa"/>
          </w:tcPr>
          <w:p w14:paraId="26DD1E57" w14:textId="77777777" w:rsidR="00A74C15" w:rsidRPr="00B95F21" w:rsidRDefault="00A74C15" w:rsidP="00D95AFE">
            <w:pPr>
              <w:rPr>
                <w:rFonts w:ascii="Arial" w:hAnsi="Arial" w:cs="Arial"/>
                <w:sz w:val="20"/>
              </w:rPr>
            </w:pPr>
            <w:r w:rsidRPr="00B95F21">
              <w:rPr>
                <w:rFonts w:ascii="Arial" w:hAnsi="Arial" w:cs="Arial"/>
                <w:sz w:val="20"/>
              </w:rPr>
              <w:t>38,24%</w:t>
            </w:r>
          </w:p>
        </w:tc>
      </w:tr>
    </w:tbl>
    <w:p w14:paraId="70056B91" w14:textId="77777777" w:rsidR="00A74C15" w:rsidRPr="001242AC" w:rsidRDefault="00A74C15" w:rsidP="00A74C15">
      <w:pPr>
        <w:jc w:val="center"/>
        <w:rPr>
          <w:rFonts w:ascii="Arial" w:hAnsi="Arial" w:cs="Arial"/>
          <w:sz w:val="20"/>
        </w:rPr>
      </w:pPr>
    </w:p>
    <w:p w14:paraId="1AFC88F2" w14:textId="77777777" w:rsidR="00A74C15" w:rsidRPr="001242AC" w:rsidRDefault="00A74C15" w:rsidP="00A74C15">
      <w:pPr>
        <w:jc w:val="center"/>
        <w:rPr>
          <w:rFonts w:ascii="Arial" w:hAnsi="Arial" w:cs="Arial"/>
          <w:b/>
          <w:sz w:val="20"/>
        </w:rPr>
      </w:pPr>
      <w:r w:rsidRPr="001242AC">
        <w:rPr>
          <w:rFonts w:ascii="Arial" w:hAnsi="Arial" w:cs="Arial"/>
          <w:b/>
          <w:sz w:val="20"/>
        </w:rPr>
        <w:t>Organisations syndicales ayant obtenu une audience supérieure ou égale à 8%</w:t>
      </w:r>
    </w:p>
    <w:p w14:paraId="651E7BB6" w14:textId="77777777" w:rsidR="00A74C15" w:rsidRPr="001242AC" w:rsidRDefault="00A74C15" w:rsidP="00A74C15">
      <w:pPr>
        <w:rPr>
          <w:rFonts w:ascii="Arial" w:hAnsi="Arial" w:cs="Arial"/>
          <w:i/>
          <w:sz w:val="20"/>
        </w:rPr>
      </w:pPr>
    </w:p>
    <w:tbl>
      <w:tblPr>
        <w:tblStyle w:val="Grilledutableau"/>
        <w:tblW w:w="9634" w:type="dxa"/>
        <w:tblLook w:val="04A0" w:firstRow="1" w:lastRow="0" w:firstColumn="1" w:lastColumn="0" w:noHBand="0" w:noVBand="1"/>
      </w:tblPr>
      <w:tblGrid>
        <w:gridCol w:w="3247"/>
        <w:gridCol w:w="3217"/>
        <w:gridCol w:w="3170"/>
      </w:tblGrid>
      <w:tr w:rsidR="00A74C15" w:rsidRPr="00A32B53" w14:paraId="2E7F6CD2" w14:textId="77777777" w:rsidTr="00D95AFE">
        <w:trPr>
          <w:trHeight w:val="470"/>
        </w:trPr>
        <w:tc>
          <w:tcPr>
            <w:tcW w:w="3247" w:type="dxa"/>
          </w:tcPr>
          <w:p w14:paraId="5D7CE01D" w14:textId="77777777" w:rsidR="00A74C15" w:rsidRPr="001242AC" w:rsidRDefault="00A74C15" w:rsidP="00D95AFE">
            <w:pPr>
              <w:rPr>
                <w:rFonts w:ascii="Arial" w:hAnsi="Arial" w:cs="Arial"/>
                <w:sz w:val="18"/>
              </w:rPr>
            </w:pPr>
            <w:r w:rsidRPr="001242AC">
              <w:rPr>
                <w:rFonts w:ascii="Arial" w:hAnsi="Arial" w:cs="Arial"/>
                <w:sz w:val="18"/>
              </w:rPr>
              <w:t xml:space="preserve">Organisations syndicales </w:t>
            </w:r>
          </w:p>
        </w:tc>
        <w:tc>
          <w:tcPr>
            <w:tcW w:w="3217" w:type="dxa"/>
          </w:tcPr>
          <w:p w14:paraId="1AAEA110" w14:textId="77777777" w:rsidR="00A74C15" w:rsidRPr="001242AC" w:rsidRDefault="00A74C15" w:rsidP="00D95AFE">
            <w:pPr>
              <w:jc w:val="right"/>
              <w:rPr>
                <w:rFonts w:ascii="Arial" w:hAnsi="Arial" w:cs="Arial"/>
                <w:sz w:val="18"/>
              </w:rPr>
            </w:pPr>
            <w:r w:rsidRPr="001242AC">
              <w:rPr>
                <w:rFonts w:ascii="Arial" w:hAnsi="Arial" w:cs="Arial"/>
                <w:sz w:val="18"/>
              </w:rPr>
              <w:t>Nombre de suffrages valablement exprimés</w:t>
            </w:r>
            <w:r w:rsidRPr="009516B5">
              <w:rPr>
                <w:rStyle w:val="Appeldenotedefin"/>
                <w:rFonts w:ascii="Arial" w:hAnsi="Arial" w:cs="Arial"/>
                <w:sz w:val="18"/>
              </w:rPr>
              <w:endnoteReference w:id="4"/>
            </w:r>
          </w:p>
        </w:tc>
        <w:tc>
          <w:tcPr>
            <w:tcW w:w="3170" w:type="dxa"/>
          </w:tcPr>
          <w:p w14:paraId="3865A533" w14:textId="77777777" w:rsidR="00A74C15" w:rsidRPr="001242AC" w:rsidRDefault="00A74C15" w:rsidP="00D95AFE">
            <w:pPr>
              <w:jc w:val="right"/>
              <w:rPr>
                <w:rFonts w:ascii="Arial" w:hAnsi="Arial" w:cs="Arial"/>
                <w:sz w:val="18"/>
              </w:rPr>
            </w:pPr>
            <w:r w:rsidRPr="001242AC">
              <w:rPr>
                <w:rFonts w:ascii="Arial" w:hAnsi="Arial" w:cs="Arial"/>
                <w:sz w:val="18"/>
              </w:rPr>
              <w:t>% de voix obtenues</w:t>
            </w:r>
          </w:p>
        </w:tc>
      </w:tr>
      <w:tr w:rsidR="00A74C15" w:rsidRPr="00A32B53" w14:paraId="659071E4" w14:textId="77777777" w:rsidTr="00D95AFE">
        <w:trPr>
          <w:trHeight w:val="264"/>
        </w:trPr>
        <w:tc>
          <w:tcPr>
            <w:tcW w:w="3247" w:type="dxa"/>
          </w:tcPr>
          <w:p w14:paraId="697E7F37" w14:textId="77777777" w:rsidR="00A74C15" w:rsidRPr="001242AC" w:rsidRDefault="00A74C15" w:rsidP="00D95AFE">
            <w:pPr>
              <w:rPr>
                <w:rFonts w:ascii="Arial" w:hAnsi="Arial" w:cs="Arial"/>
                <w:sz w:val="20"/>
              </w:rPr>
            </w:pPr>
            <w:r w:rsidRPr="001242AC">
              <w:rPr>
                <w:rFonts w:ascii="Arial" w:hAnsi="Arial" w:cs="Arial"/>
                <w:sz w:val="20"/>
              </w:rPr>
              <w:t>CFDT</w:t>
            </w:r>
          </w:p>
        </w:tc>
        <w:tc>
          <w:tcPr>
            <w:tcW w:w="3217" w:type="dxa"/>
          </w:tcPr>
          <w:p w14:paraId="34E35366" w14:textId="77777777" w:rsidR="00A74C15" w:rsidRPr="002870C0" w:rsidRDefault="00A74C15" w:rsidP="00D95AFE">
            <w:pPr>
              <w:jc w:val="right"/>
              <w:rPr>
                <w:rFonts w:ascii="Arial" w:hAnsi="Arial" w:cs="Arial"/>
                <w:sz w:val="20"/>
                <w:szCs w:val="20"/>
                <w:highlight w:val="lightGray"/>
              </w:rPr>
            </w:pPr>
            <w:r w:rsidRPr="002870C0">
              <w:rPr>
                <w:rFonts w:ascii="Arial" w:hAnsi="Arial" w:cs="Arial"/>
                <w:sz w:val="20"/>
                <w:szCs w:val="20"/>
              </w:rPr>
              <w:t>1 343</w:t>
            </w:r>
            <w:r>
              <w:rPr>
                <w:rFonts w:ascii="Arial" w:hAnsi="Arial" w:cs="Arial"/>
                <w:sz w:val="20"/>
                <w:szCs w:val="20"/>
              </w:rPr>
              <w:t> </w:t>
            </w:r>
            <w:r w:rsidRPr="002870C0">
              <w:rPr>
                <w:rFonts w:ascii="Arial" w:hAnsi="Arial" w:cs="Arial"/>
                <w:sz w:val="20"/>
                <w:szCs w:val="20"/>
              </w:rPr>
              <w:t>055</w:t>
            </w:r>
            <w:r>
              <w:rPr>
                <w:rFonts w:ascii="Arial" w:hAnsi="Arial" w:cs="Arial"/>
                <w:sz w:val="20"/>
                <w:szCs w:val="20"/>
              </w:rPr>
              <w:t>,</w:t>
            </w:r>
            <w:r w:rsidRPr="002870C0">
              <w:rPr>
                <w:rFonts w:ascii="Arial" w:hAnsi="Arial" w:cs="Arial"/>
                <w:sz w:val="20"/>
                <w:szCs w:val="20"/>
              </w:rPr>
              <w:t>97</w:t>
            </w:r>
          </w:p>
        </w:tc>
        <w:tc>
          <w:tcPr>
            <w:tcW w:w="3170" w:type="dxa"/>
            <w:vAlign w:val="center"/>
          </w:tcPr>
          <w:p w14:paraId="1003318C" w14:textId="77777777" w:rsidR="00A74C15" w:rsidRPr="002870C0" w:rsidRDefault="00A74C15" w:rsidP="00D95AFE">
            <w:pPr>
              <w:jc w:val="right"/>
              <w:rPr>
                <w:rFonts w:ascii="Arial" w:hAnsi="Arial" w:cs="Arial"/>
                <w:sz w:val="20"/>
                <w:szCs w:val="20"/>
                <w:highlight w:val="lightGray"/>
              </w:rPr>
            </w:pPr>
            <w:r w:rsidRPr="002870C0">
              <w:rPr>
                <w:rFonts w:ascii="Arial" w:hAnsi="Arial" w:cs="Arial"/>
                <w:color w:val="000000"/>
                <w:sz w:val="20"/>
                <w:szCs w:val="20"/>
              </w:rPr>
              <w:t>26,77%</w:t>
            </w:r>
          </w:p>
        </w:tc>
      </w:tr>
      <w:tr w:rsidR="00A74C15" w:rsidRPr="00A32B53" w14:paraId="0F81794A" w14:textId="77777777" w:rsidTr="00D95AFE">
        <w:trPr>
          <w:trHeight w:val="264"/>
        </w:trPr>
        <w:tc>
          <w:tcPr>
            <w:tcW w:w="3247" w:type="dxa"/>
          </w:tcPr>
          <w:p w14:paraId="716E3435" w14:textId="77777777" w:rsidR="00A74C15" w:rsidRPr="001242AC" w:rsidRDefault="00A74C15" w:rsidP="00D95AFE">
            <w:pPr>
              <w:rPr>
                <w:rFonts w:ascii="Arial" w:hAnsi="Arial" w:cs="Arial"/>
                <w:sz w:val="20"/>
              </w:rPr>
            </w:pPr>
            <w:r w:rsidRPr="001242AC">
              <w:rPr>
                <w:rFonts w:ascii="Arial" w:hAnsi="Arial" w:cs="Arial"/>
                <w:sz w:val="20"/>
              </w:rPr>
              <w:t>CGT</w:t>
            </w:r>
          </w:p>
        </w:tc>
        <w:tc>
          <w:tcPr>
            <w:tcW w:w="3217" w:type="dxa"/>
          </w:tcPr>
          <w:p w14:paraId="2BD5C32D" w14:textId="77777777" w:rsidR="00A74C15" w:rsidRPr="002870C0" w:rsidRDefault="00A74C15" w:rsidP="00D95AFE">
            <w:pPr>
              <w:jc w:val="right"/>
              <w:rPr>
                <w:rFonts w:ascii="Arial" w:hAnsi="Arial" w:cs="Arial"/>
                <w:sz w:val="20"/>
                <w:szCs w:val="20"/>
                <w:highlight w:val="lightGray"/>
              </w:rPr>
            </w:pPr>
            <w:r w:rsidRPr="002870C0">
              <w:rPr>
                <w:rFonts w:ascii="Arial" w:hAnsi="Arial" w:cs="Arial"/>
                <w:sz w:val="20"/>
                <w:szCs w:val="20"/>
              </w:rPr>
              <w:t>1 151</w:t>
            </w:r>
            <w:r>
              <w:rPr>
                <w:rFonts w:ascii="Arial" w:hAnsi="Arial" w:cs="Arial"/>
                <w:sz w:val="20"/>
                <w:szCs w:val="20"/>
              </w:rPr>
              <w:t> </w:t>
            </w:r>
            <w:r w:rsidRPr="002870C0">
              <w:rPr>
                <w:rFonts w:ascii="Arial" w:hAnsi="Arial" w:cs="Arial"/>
                <w:sz w:val="20"/>
                <w:szCs w:val="20"/>
              </w:rPr>
              <w:t>897</w:t>
            </w:r>
            <w:r>
              <w:rPr>
                <w:rFonts w:ascii="Arial" w:hAnsi="Arial" w:cs="Arial"/>
                <w:sz w:val="20"/>
                <w:szCs w:val="20"/>
              </w:rPr>
              <w:t>,</w:t>
            </w:r>
            <w:r w:rsidRPr="002870C0">
              <w:rPr>
                <w:rFonts w:ascii="Arial" w:hAnsi="Arial" w:cs="Arial"/>
                <w:sz w:val="20"/>
                <w:szCs w:val="20"/>
              </w:rPr>
              <w:t>16</w:t>
            </w:r>
          </w:p>
        </w:tc>
        <w:tc>
          <w:tcPr>
            <w:tcW w:w="3170" w:type="dxa"/>
            <w:vAlign w:val="center"/>
          </w:tcPr>
          <w:p w14:paraId="42AD5ACE" w14:textId="77777777" w:rsidR="00A74C15" w:rsidRPr="002870C0" w:rsidRDefault="00A74C15" w:rsidP="00D95AFE">
            <w:pPr>
              <w:jc w:val="right"/>
              <w:rPr>
                <w:rFonts w:ascii="Arial" w:hAnsi="Arial" w:cs="Arial"/>
                <w:sz w:val="20"/>
                <w:szCs w:val="20"/>
                <w:highlight w:val="lightGray"/>
              </w:rPr>
            </w:pPr>
            <w:r w:rsidRPr="002870C0">
              <w:rPr>
                <w:rFonts w:ascii="Arial" w:hAnsi="Arial" w:cs="Arial"/>
                <w:color w:val="000000"/>
                <w:sz w:val="20"/>
                <w:szCs w:val="20"/>
              </w:rPr>
              <w:t>22,96%</w:t>
            </w:r>
          </w:p>
        </w:tc>
      </w:tr>
      <w:tr w:rsidR="00A74C15" w:rsidRPr="00A32B53" w14:paraId="4B8C0DE4" w14:textId="77777777" w:rsidTr="00D95AFE">
        <w:trPr>
          <w:trHeight w:val="264"/>
        </w:trPr>
        <w:tc>
          <w:tcPr>
            <w:tcW w:w="3247" w:type="dxa"/>
          </w:tcPr>
          <w:p w14:paraId="7516C74C" w14:textId="6C4A91B8" w:rsidR="00A74C15" w:rsidRPr="001242AC" w:rsidRDefault="00A74C15" w:rsidP="00D95AFE">
            <w:pPr>
              <w:rPr>
                <w:rFonts w:ascii="Arial" w:hAnsi="Arial" w:cs="Arial"/>
                <w:sz w:val="20"/>
              </w:rPr>
            </w:pPr>
            <w:r w:rsidRPr="001242AC">
              <w:rPr>
                <w:rFonts w:ascii="Arial" w:hAnsi="Arial" w:cs="Arial"/>
                <w:sz w:val="20"/>
              </w:rPr>
              <w:t>FO</w:t>
            </w:r>
          </w:p>
        </w:tc>
        <w:tc>
          <w:tcPr>
            <w:tcW w:w="3217" w:type="dxa"/>
          </w:tcPr>
          <w:p w14:paraId="05E8B064" w14:textId="77777777" w:rsidR="00A74C15" w:rsidRPr="002870C0" w:rsidRDefault="00A74C15" w:rsidP="00D95AFE">
            <w:pPr>
              <w:jc w:val="right"/>
              <w:rPr>
                <w:rFonts w:ascii="Arial" w:hAnsi="Arial" w:cs="Arial"/>
                <w:sz w:val="20"/>
                <w:szCs w:val="20"/>
                <w:highlight w:val="lightGray"/>
              </w:rPr>
            </w:pPr>
            <w:r w:rsidRPr="002870C0">
              <w:rPr>
                <w:rFonts w:ascii="Arial" w:hAnsi="Arial" w:cs="Arial"/>
                <w:sz w:val="20"/>
                <w:szCs w:val="20"/>
              </w:rPr>
              <w:t>764</w:t>
            </w:r>
            <w:r>
              <w:rPr>
                <w:rFonts w:ascii="Arial" w:hAnsi="Arial" w:cs="Arial"/>
                <w:sz w:val="20"/>
                <w:szCs w:val="20"/>
              </w:rPr>
              <w:t> </w:t>
            </w:r>
            <w:r w:rsidRPr="002870C0">
              <w:rPr>
                <w:rFonts w:ascii="Arial" w:hAnsi="Arial" w:cs="Arial"/>
                <w:sz w:val="20"/>
                <w:szCs w:val="20"/>
              </w:rPr>
              <w:t>329</w:t>
            </w:r>
            <w:r>
              <w:rPr>
                <w:rFonts w:ascii="Arial" w:hAnsi="Arial" w:cs="Arial"/>
                <w:sz w:val="20"/>
                <w:szCs w:val="20"/>
              </w:rPr>
              <w:t>,</w:t>
            </w:r>
            <w:r w:rsidRPr="002870C0">
              <w:rPr>
                <w:rFonts w:ascii="Arial" w:hAnsi="Arial" w:cs="Arial"/>
                <w:sz w:val="20"/>
                <w:szCs w:val="20"/>
              </w:rPr>
              <w:t>75</w:t>
            </w:r>
          </w:p>
        </w:tc>
        <w:tc>
          <w:tcPr>
            <w:tcW w:w="3170" w:type="dxa"/>
            <w:vAlign w:val="center"/>
          </w:tcPr>
          <w:p w14:paraId="4AC39085" w14:textId="77777777" w:rsidR="00A74C15" w:rsidRPr="002870C0" w:rsidRDefault="00A74C15" w:rsidP="00D95AFE">
            <w:pPr>
              <w:jc w:val="right"/>
              <w:rPr>
                <w:rFonts w:ascii="Arial" w:hAnsi="Arial" w:cs="Arial"/>
                <w:sz w:val="20"/>
                <w:szCs w:val="20"/>
                <w:highlight w:val="lightGray"/>
              </w:rPr>
            </w:pPr>
            <w:r w:rsidRPr="002870C0">
              <w:rPr>
                <w:rFonts w:ascii="Arial" w:hAnsi="Arial" w:cs="Arial"/>
                <w:color w:val="000000"/>
                <w:sz w:val="20"/>
                <w:szCs w:val="20"/>
              </w:rPr>
              <w:t>15,24%</w:t>
            </w:r>
          </w:p>
        </w:tc>
      </w:tr>
      <w:tr w:rsidR="00A74C15" w:rsidRPr="00A32B53" w14:paraId="7858DDCC" w14:textId="77777777" w:rsidTr="00D95AFE">
        <w:trPr>
          <w:trHeight w:val="264"/>
        </w:trPr>
        <w:tc>
          <w:tcPr>
            <w:tcW w:w="3247" w:type="dxa"/>
          </w:tcPr>
          <w:p w14:paraId="56FDB9EB" w14:textId="77777777" w:rsidR="00A74C15" w:rsidRPr="001242AC" w:rsidRDefault="00A74C15" w:rsidP="00D95AFE">
            <w:pPr>
              <w:rPr>
                <w:rFonts w:ascii="Arial" w:hAnsi="Arial" w:cs="Arial"/>
                <w:sz w:val="20"/>
              </w:rPr>
            </w:pPr>
            <w:r w:rsidRPr="001242AC">
              <w:rPr>
                <w:rFonts w:ascii="Arial" w:hAnsi="Arial" w:cs="Arial"/>
                <w:sz w:val="20"/>
              </w:rPr>
              <w:t>CFE-CGC</w:t>
            </w:r>
          </w:p>
        </w:tc>
        <w:tc>
          <w:tcPr>
            <w:tcW w:w="3217" w:type="dxa"/>
          </w:tcPr>
          <w:p w14:paraId="5ED26142" w14:textId="77777777" w:rsidR="00A74C15" w:rsidRPr="002870C0" w:rsidRDefault="00A74C15" w:rsidP="00D95AFE">
            <w:pPr>
              <w:jc w:val="right"/>
              <w:rPr>
                <w:rFonts w:ascii="Arial" w:hAnsi="Arial" w:cs="Arial"/>
                <w:sz w:val="20"/>
                <w:szCs w:val="20"/>
                <w:highlight w:val="lightGray"/>
              </w:rPr>
            </w:pPr>
            <w:r w:rsidRPr="002870C0">
              <w:rPr>
                <w:rFonts w:ascii="Arial" w:hAnsi="Arial" w:cs="Arial"/>
                <w:sz w:val="20"/>
                <w:szCs w:val="20"/>
              </w:rPr>
              <w:t>597</w:t>
            </w:r>
            <w:r>
              <w:rPr>
                <w:rFonts w:ascii="Arial" w:hAnsi="Arial" w:cs="Arial"/>
                <w:sz w:val="20"/>
                <w:szCs w:val="20"/>
              </w:rPr>
              <w:t> </w:t>
            </w:r>
            <w:r w:rsidRPr="002870C0">
              <w:rPr>
                <w:rFonts w:ascii="Arial" w:hAnsi="Arial" w:cs="Arial"/>
                <w:sz w:val="20"/>
                <w:szCs w:val="20"/>
              </w:rPr>
              <w:t>777</w:t>
            </w:r>
            <w:r>
              <w:rPr>
                <w:rFonts w:ascii="Arial" w:hAnsi="Arial" w:cs="Arial"/>
                <w:sz w:val="20"/>
                <w:szCs w:val="20"/>
              </w:rPr>
              <w:t>,</w:t>
            </w:r>
            <w:r w:rsidRPr="002870C0">
              <w:rPr>
                <w:rFonts w:ascii="Arial" w:hAnsi="Arial" w:cs="Arial"/>
                <w:sz w:val="20"/>
                <w:szCs w:val="20"/>
              </w:rPr>
              <w:t>70</w:t>
            </w:r>
          </w:p>
        </w:tc>
        <w:tc>
          <w:tcPr>
            <w:tcW w:w="3170" w:type="dxa"/>
            <w:vAlign w:val="center"/>
          </w:tcPr>
          <w:p w14:paraId="47EA089A" w14:textId="77777777" w:rsidR="00A74C15" w:rsidRPr="002870C0" w:rsidRDefault="00A74C15" w:rsidP="00D95AFE">
            <w:pPr>
              <w:jc w:val="right"/>
              <w:rPr>
                <w:rFonts w:ascii="Arial" w:hAnsi="Arial" w:cs="Arial"/>
                <w:sz w:val="20"/>
                <w:szCs w:val="20"/>
                <w:highlight w:val="lightGray"/>
              </w:rPr>
            </w:pPr>
            <w:r w:rsidRPr="002870C0">
              <w:rPr>
                <w:rFonts w:ascii="Arial" w:hAnsi="Arial" w:cs="Arial"/>
                <w:color w:val="000000"/>
                <w:sz w:val="20"/>
                <w:szCs w:val="20"/>
              </w:rPr>
              <w:t>11,92%</w:t>
            </w:r>
          </w:p>
        </w:tc>
      </w:tr>
      <w:tr w:rsidR="00A74C15" w:rsidRPr="00A32B53" w14:paraId="47FF252B" w14:textId="77777777" w:rsidTr="00D95AFE">
        <w:trPr>
          <w:trHeight w:val="264"/>
        </w:trPr>
        <w:tc>
          <w:tcPr>
            <w:tcW w:w="3247" w:type="dxa"/>
          </w:tcPr>
          <w:p w14:paraId="0441E3DC" w14:textId="77777777" w:rsidR="00A74C15" w:rsidRPr="001242AC" w:rsidRDefault="00A74C15" w:rsidP="00D95AFE">
            <w:pPr>
              <w:rPr>
                <w:rFonts w:ascii="Arial" w:hAnsi="Arial" w:cs="Arial"/>
                <w:sz w:val="20"/>
              </w:rPr>
            </w:pPr>
            <w:r w:rsidRPr="001242AC">
              <w:rPr>
                <w:rFonts w:ascii="Arial" w:hAnsi="Arial" w:cs="Arial"/>
                <w:sz w:val="20"/>
              </w:rPr>
              <w:t>CFTC</w:t>
            </w:r>
          </w:p>
        </w:tc>
        <w:tc>
          <w:tcPr>
            <w:tcW w:w="3217" w:type="dxa"/>
          </w:tcPr>
          <w:p w14:paraId="6ECF0F10" w14:textId="77777777" w:rsidR="00A74C15" w:rsidRPr="002870C0" w:rsidRDefault="00A74C15" w:rsidP="00D95AFE">
            <w:pPr>
              <w:jc w:val="right"/>
              <w:rPr>
                <w:rFonts w:ascii="Arial" w:hAnsi="Arial" w:cs="Arial"/>
                <w:sz w:val="20"/>
                <w:szCs w:val="20"/>
                <w:highlight w:val="lightGray"/>
              </w:rPr>
            </w:pPr>
            <w:r w:rsidRPr="002870C0">
              <w:rPr>
                <w:rFonts w:ascii="Arial" w:hAnsi="Arial" w:cs="Arial"/>
                <w:sz w:val="20"/>
                <w:szCs w:val="20"/>
              </w:rPr>
              <w:t>476</w:t>
            </w:r>
            <w:r>
              <w:rPr>
                <w:rFonts w:ascii="Arial" w:hAnsi="Arial" w:cs="Arial"/>
                <w:sz w:val="20"/>
                <w:szCs w:val="20"/>
              </w:rPr>
              <w:t> </w:t>
            </w:r>
            <w:r w:rsidRPr="002870C0">
              <w:rPr>
                <w:rFonts w:ascii="Arial" w:hAnsi="Arial" w:cs="Arial"/>
                <w:sz w:val="20"/>
                <w:szCs w:val="20"/>
              </w:rPr>
              <w:t>564</w:t>
            </w:r>
            <w:r>
              <w:rPr>
                <w:rFonts w:ascii="Arial" w:hAnsi="Arial" w:cs="Arial"/>
                <w:sz w:val="20"/>
                <w:szCs w:val="20"/>
              </w:rPr>
              <w:t>,</w:t>
            </w:r>
            <w:r w:rsidRPr="002870C0">
              <w:rPr>
                <w:rFonts w:ascii="Arial" w:hAnsi="Arial" w:cs="Arial"/>
                <w:sz w:val="20"/>
                <w:szCs w:val="20"/>
              </w:rPr>
              <w:t>83</w:t>
            </w:r>
          </w:p>
        </w:tc>
        <w:tc>
          <w:tcPr>
            <w:tcW w:w="3170" w:type="dxa"/>
            <w:vAlign w:val="center"/>
          </w:tcPr>
          <w:p w14:paraId="1881D618" w14:textId="77777777" w:rsidR="00A74C15" w:rsidRPr="002870C0" w:rsidRDefault="00A74C15" w:rsidP="00D95AFE">
            <w:pPr>
              <w:jc w:val="right"/>
              <w:rPr>
                <w:rFonts w:ascii="Arial" w:hAnsi="Arial" w:cs="Arial"/>
                <w:sz w:val="20"/>
                <w:szCs w:val="20"/>
                <w:highlight w:val="lightGray"/>
              </w:rPr>
            </w:pPr>
            <w:r w:rsidRPr="002870C0">
              <w:rPr>
                <w:rFonts w:ascii="Arial" w:hAnsi="Arial" w:cs="Arial"/>
                <w:color w:val="000000"/>
                <w:sz w:val="20"/>
                <w:szCs w:val="20"/>
              </w:rPr>
              <w:t>9,50%</w:t>
            </w:r>
          </w:p>
        </w:tc>
      </w:tr>
    </w:tbl>
    <w:p w14:paraId="2241C348" w14:textId="77777777" w:rsidR="00A74C15" w:rsidRPr="001242AC" w:rsidRDefault="00A74C15" w:rsidP="00A74C15">
      <w:pPr>
        <w:rPr>
          <w:rFonts w:ascii="Arial" w:hAnsi="Arial" w:cs="Arial"/>
          <w:sz w:val="20"/>
        </w:rPr>
      </w:pPr>
    </w:p>
    <w:p w14:paraId="4FED60C5" w14:textId="77777777" w:rsidR="00A74C15" w:rsidRPr="001242AC" w:rsidRDefault="00A74C15" w:rsidP="00A74C15">
      <w:pPr>
        <w:jc w:val="center"/>
        <w:rPr>
          <w:rFonts w:ascii="Arial" w:hAnsi="Arial" w:cs="Arial"/>
          <w:b/>
          <w:sz w:val="20"/>
        </w:rPr>
      </w:pPr>
      <w:r w:rsidRPr="001242AC">
        <w:rPr>
          <w:rFonts w:ascii="Arial" w:hAnsi="Arial" w:cs="Arial"/>
          <w:b/>
          <w:sz w:val="20"/>
        </w:rPr>
        <w:t>Organisations syndicales ayant obtenu une audience inférieure à 8%</w:t>
      </w:r>
    </w:p>
    <w:p w14:paraId="60A64792" w14:textId="77777777" w:rsidR="00A74C15" w:rsidRPr="001242AC" w:rsidRDefault="00A74C15" w:rsidP="00A74C15">
      <w:pPr>
        <w:rPr>
          <w:rFonts w:ascii="Arial" w:hAnsi="Arial" w:cs="Arial"/>
          <w:sz w:val="20"/>
        </w:rPr>
      </w:pPr>
    </w:p>
    <w:tbl>
      <w:tblPr>
        <w:tblStyle w:val="Grilledutableau"/>
        <w:tblW w:w="0" w:type="auto"/>
        <w:tblLook w:val="04A0" w:firstRow="1" w:lastRow="0" w:firstColumn="1" w:lastColumn="0" w:noHBand="0" w:noVBand="1"/>
      </w:tblPr>
      <w:tblGrid>
        <w:gridCol w:w="3233"/>
        <w:gridCol w:w="3214"/>
        <w:gridCol w:w="3182"/>
      </w:tblGrid>
      <w:tr w:rsidR="00A74C15" w:rsidRPr="00A32B53" w14:paraId="1F0C9DD4" w14:textId="77777777" w:rsidTr="00D95AFE">
        <w:tc>
          <w:tcPr>
            <w:tcW w:w="3233" w:type="dxa"/>
          </w:tcPr>
          <w:p w14:paraId="66149C5B" w14:textId="77777777" w:rsidR="00A74C15" w:rsidRPr="001242AC" w:rsidRDefault="00A74C15" w:rsidP="00D95AFE">
            <w:pPr>
              <w:rPr>
                <w:rFonts w:ascii="Arial" w:hAnsi="Arial" w:cs="Arial"/>
                <w:sz w:val="18"/>
              </w:rPr>
            </w:pPr>
            <w:r w:rsidRPr="001242AC">
              <w:rPr>
                <w:rFonts w:ascii="Arial" w:hAnsi="Arial" w:cs="Arial"/>
                <w:sz w:val="18"/>
              </w:rPr>
              <w:t>Organisations syndicales</w:t>
            </w:r>
          </w:p>
        </w:tc>
        <w:tc>
          <w:tcPr>
            <w:tcW w:w="3214" w:type="dxa"/>
          </w:tcPr>
          <w:p w14:paraId="3FBF339D" w14:textId="77777777" w:rsidR="00A74C15" w:rsidRPr="001242AC" w:rsidRDefault="00A74C15" w:rsidP="00D95AFE">
            <w:pPr>
              <w:jc w:val="right"/>
              <w:rPr>
                <w:rFonts w:ascii="Arial" w:hAnsi="Arial" w:cs="Arial"/>
                <w:sz w:val="18"/>
              </w:rPr>
            </w:pPr>
            <w:r w:rsidRPr="001242AC">
              <w:rPr>
                <w:rFonts w:ascii="Arial" w:hAnsi="Arial" w:cs="Arial"/>
                <w:sz w:val="18"/>
              </w:rPr>
              <w:t>Nombre de suffrages valablement exprimés</w:t>
            </w:r>
          </w:p>
        </w:tc>
        <w:tc>
          <w:tcPr>
            <w:tcW w:w="3182" w:type="dxa"/>
          </w:tcPr>
          <w:p w14:paraId="252BDEBC" w14:textId="77777777" w:rsidR="00A74C15" w:rsidRPr="001242AC" w:rsidRDefault="00A74C15" w:rsidP="00D95AFE">
            <w:pPr>
              <w:jc w:val="right"/>
              <w:rPr>
                <w:rFonts w:ascii="Arial" w:hAnsi="Arial" w:cs="Arial"/>
                <w:sz w:val="18"/>
              </w:rPr>
            </w:pPr>
            <w:r w:rsidRPr="001242AC">
              <w:rPr>
                <w:rFonts w:ascii="Arial" w:hAnsi="Arial" w:cs="Arial"/>
                <w:sz w:val="18"/>
              </w:rPr>
              <w:t>% de voix obtenues</w:t>
            </w:r>
          </w:p>
        </w:tc>
      </w:tr>
      <w:tr w:rsidR="00A74C15" w:rsidRPr="00A32B53" w14:paraId="7ECE3CCA" w14:textId="77777777" w:rsidTr="00D95AFE">
        <w:tc>
          <w:tcPr>
            <w:tcW w:w="3233" w:type="dxa"/>
          </w:tcPr>
          <w:p w14:paraId="420F8517" w14:textId="77777777" w:rsidR="00A74C15" w:rsidRPr="001242AC" w:rsidRDefault="00A74C15" w:rsidP="00D95AFE">
            <w:pPr>
              <w:rPr>
                <w:rFonts w:ascii="Arial" w:hAnsi="Arial" w:cs="Arial"/>
                <w:sz w:val="20"/>
              </w:rPr>
            </w:pPr>
            <w:r w:rsidRPr="001242AC">
              <w:rPr>
                <w:rFonts w:ascii="Arial" w:hAnsi="Arial" w:cs="Arial"/>
                <w:sz w:val="20"/>
              </w:rPr>
              <w:t>UNSA</w:t>
            </w:r>
          </w:p>
        </w:tc>
        <w:tc>
          <w:tcPr>
            <w:tcW w:w="3214" w:type="dxa"/>
          </w:tcPr>
          <w:p w14:paraId="68718A3C" w14:textId="77777777" w:rsidR="00A74C15" w:rsidRPr="002870C0" w:rsidRDefault="00A74C15" w:rsidP="00D95AFE">
            <w:pPr>
              <w:jc w:val="right"/>
              <w:rPr>
                <w:rFonts w:ascii="Arial" w:hAnsi="Arial" w:cs="Arial"/>
                <w:sz w:val="20"/>
                <w:szCs w:val="20"/>
                <w:highlight w:val="lightGray"/>
              </w:rPr>
            </w:pPr>
            <w:r w:rsidRPr="002870C0">
              <w:rPr>
                <w:rFonts w:ascii="Arial" w:hAnsi="Arial" w:cs="Arial"/>
                <w:sz w:val="20"/>
                <w:szCs w:val="20"/>
              </w:rPr>
              <w:t>300</w:t>
            </w:r>
            <w:r>
              <w:rPr>
                <w:rFonts w:ascii="Arial" w:hAnsi="Arial" w:cs="Arial"/>
                <w:sz w:val="20"/>
                <w:szCs w:val="20"/>
              </w:rPr>
              <w:t> </w:t>
            </w:r>
            <w:r w:rsidRPr="002870C0">
              <w:rPr>
                <w:rFonts w:ascii="Arial" w:hAnsi="Arial" w:cs="Arial"/>
                <w:sz w:val="20"/>
                <w:szCs w:val="20"/>
              </w:rPr>
              <w:t>391</w:t>
            </w:r>
            <w:r>
              <w:rPr>
                <w:rFonts w:ascii="Arial" w:hAnsi="Arial" w:cs="Arial"/>
                <w:sz w:val="20"/>
                <w:szCs w:val="20"/>
              </w:rPr>
              <w:t>,</w:t>
            </w:r>
            <w:r w:rsidRPr="002870C0">
              <w:rPr>
                <w:rFonts w:ascii="Arial" w:hAnsi="Arial" w:cs="Arial"/>
                <w:sz w:val="20"/>
                <w:szCs w:val="20"/>
              </w:rPr>
              <w:t>32</w:t>
            </w:r>
          </w:p>
        </w:tc>
        <w:tc>
          <w:tcPr>
            <w:tcW w:w="3182" w:type="dxa"/>
            <w:vAlign w:val="center"/>
          </w:tcPr>
          <w:p w14:paraId="66D1198E" w14:textId="77777777" w:rsidR="00A74C15" w:rsidRPr="002870C0" w:rsidRDefault="00A74C15" w:rsidP="00D95AFE">
            <w:pPr>
              <w:jc w:val="right"/>
              <w:rPr>
                <w:rFonts w:ascii="Arial" w:hAnsi="Arial" w:cs="Arial"/>
                <w:sz w:val="20"/>
                <w:szCs w:val="20"/>
                <w:highlight w:val="lightGray"/>
              </w:rPr>
            </w:pPr>
            <w:r w:rsidRPr="002870C0">
              <w:rPr>
                <w:rFonts w:ascii="Arial" w:hAnsi="Arial" w:cs="Arial"/>
                <w:color w:val="000000"/>
                <w:sz w:val="20"/>
                <w:szCs w:val="20"/>
              </w:rPr>
              <w:t>5,99%</w:t>
            </w:r>
          </w:p>
        </w:tc>
      </w:tr>
      <w:tr w:rsidR="00A74C15" w:rsidRPr="00A32B53" w14:paraId="7C628517" w14:textId="77777777" w:rsidTr="00D95AFE">
        <w:tc>
          <w:tcPr>
            <w:tcW w:w="3233" w:type="dxa"/>
          </w:tcPr>
          <w:p w14:paraId="48FF1A47" w14:textId="77777777" w:rsidR="00A74C15" w:rsidRPr="001242AC" w:rsidRDefault="00A74C15" w:rsidP="00D95AFE">
            <w:pPr>
              <w:rPr>
                <w:rFonts w:ascii="Arial" w:hAnsi="Arial" w:cs="Arial"/>
                <w:sz w:val="20"/>
              </w:rPr>
            </w:pPr>
            <w:r w:rsidRPr="001242AC">
              <w:rPr>
                <w:rFonts w:ascii="Arial" w:hAnsi="Arial" w:cs="Arial"/>
                <w:sz w:val="20"/>
              </w:rPr>
              <w:t>Solidaires</w:t>
            </w:r>
          </w:p>
        </w:tc>
        <w:tc>
          <w:tcPr>
            <w:tcW w:w="3214" w:type="dxa"/>
          </w:tcPr>
          <w:p w14:paraId="7D9FEA3C" w14:textId="77777777" w:rsidR="00A74C15" w:rsidRPr="002870C0" w:rsidRDefault="00A74C15" w:rsidP="00D95AFE">
            <w:pPr>
              <w:jc w:val="right"/>
              <w:rPr>
                <w:rFonts w:ascii="Arial" w:hAnsi="Arial" w:cs="Arial"/>
                <w:sz w:val="20"/>
                <w:szCs w:val="20"/>
                <w:highlight w:val="lightGray"/>
              </w:rPr>
            </w:pPr>
            <w:r w:rsidRPr="002870C0">
              <w:rPr>
                <w:rFonts w:ascii="Arial" w:hAnsi="Arial" w:cs="Arial"/>
                <w:sz w:val="20"/>
                <w:szCs w:val="20"/>
              </w:rPr>
              <w:t>184</w:t>
            </w:r>
            <w:r>
              <w:rPr>
                <w:rFonts w:ascii="Arial" w:hAnsi="Arial" w:cs="Arial"/>
                <w:sz w:val="20"/>
                <w:szCs w:val="20"/>
              </w:rPr>
              <w:t> </w:t>
            </w:r>
            <w:r w:rsidRPr="002870C0">
              <w:rPr>
                <w:rFonts w:ascii="Arial" w:hAnsi="Arial" w:cs="Arial"/>
                <w:sz w:val="20"/>
                <w:szCs w:val="20"/>
              </w:rPr>
              <w:t>513</w:t>
            </w:r>
            <w:r>
              <w:rPr>
                <w:rFonts w:ascii="Arial" w:hAnsi="Arial" w:cs="Arial"/>
                <w:sz w:val="20"/>
                <w:szCs w:val="20"/>
              </w:rPr>
              <w:t>,</w:t>
            </w:r>
            <w:r w:rsidRPr="002870C0">
              <w:rPr>
                <w:rFonts w:ascii="Arial" w:hAnsi="Arial" w:cs="Arial"/>
                <w:sz w:val="20"/>
                <w:szCs w:val="20"/>
              </w:rPr>
              <w:t>47</w:t>
            </w:r>
          </w:p>
        </w:tc>
        <w:tc>
          <w:tcPr>
            <w:tcW w:w="3182" w:type="dxa"/>
            <w:vAlign w:val="center"/>
          </w:tcPr>
          <w:p w14:paraId="7AE9F4D5" w14:textId="77777777" w:rsidR="00A74C15" w:rsidRPr="002870C0" w:rsidRDefault="00A74C15" w:rsidP="00D95AFE">
            <w:pPr>
              <w:jc w:val="right"/>
              <w:rPr>
                <w:rFonts w:ascii="Arial" w:hAnsi="Arial" w:cs="Arial"/>
                <w:sz w:val="20"/>
                <w:szCs w:val="20"/>
                <w:highlight w:val="lightGray"/>
              </w:rPr>
            </w:pPr>
            <w:r w:rsidRPr="002870C0">
              <w:rPr>
                <w:rFonts w:ascii="Arial" w:hAnsi="Arial" w:cs="Arial"/>
                <w:color w:val="000000"/>
                <w:sz w:val="20"/>
                <w:szCs w:val="20"/>
              </w:rPr>
              <w:t>3,68%</w:t>
            </w:r>
          </w:p>
        </w:tc>
      </w:tr>
      <w:tr w:rsidR="00A74C15" w:rsidRPr="00A32B53" w14:paraId="5B4D6CED" w14:textId="77777777" w:rsidTr="00D95AFE">
        <w:tc>
          <w:tcPr>
            <w:tcW w:w="3233" w:type="dxa"/>
          </w:tcPr>
          <w:p w14:paraId="6A98AAFB" w14:textId="77777777" w:rsidR="00A74C15" w:rsidRPr="001242AC" w:rsidRDefault="00A74C15" w:rsidP="00D95AFE">
            <w:pPr>
              <w:rPr>
                <w:rFonts w:ascii="Arial" w:hAnsi="Arial" w:cs="Arial"/>
                <w:sz w:val="20"/>
              </w:rPr>
            </w:pPr>
            <w:r w:rsidRPr="001242AC">
              <w:rPr>
                <w:rFonts w:ascii="Arial" w:hAnsi="Arial" w:cs="Arial"/>
                <w:sz w:val="20"/>
              </w:rPr>
              <w:t>Autres listes (&lt; 1%)</w:t>
            </w:r>
          </w:p>
        </w:tc>
        <w:tc>
          <w:tcPr>
            <w:tcW w:w="3214" w:type="dxa"/>
          </w:tcPr>
          <w:p w14:paraId="7DE4411D" w14:textId="77777777" w:rsidR="00A74C15" w:rsidRPr="002870C0" w:rsidRDefault="00A74C15" w:rsidP="00D95AFE">
            <w:pPr>
              <w:jc w:val="right"/>
              <w:rPr>
                <w:rFonts w:ascii="Arial" w:hAnsi="Arial" w:cs="Arial"/>
                <w:sz w:val="20"/>
                <w:szCs w:val="20"/>
                <w:highlight w:val="lightGray"/>
              </w:rPr>
            </w:pPr>
            <w:r w:rsidRPr="002870C0">
              <w:rPr>
                <w:rFonts w:ascii="Arial" w:hAnsi="Arial" w:cs="Arial"/>
                <w:sz w:val="20"/>
                <w:szCs w:val="20"/>
              </w:rPr>
              <w:t>190</w:t>
            </w:r>
            <w:r>
              <w:rPr>
                <w:rFonts w:ascii="Arial" w:hAnsi="Arial" w:cs="Arial"/>
                <w:sz w:val="20"/>
                <w:szCs w:val="20"/>
              </w:rPr>
              <w:t> </w:t>
            </w:r>
            <w:r w:rsidRPr="002870C0">
              <w:rPr>
                <w:rFonts w:ascii="Arial" w:hAnsi="Arial" w:cs="Arial"/>
                <w:sz w:val="20"/>
                <w:szCs w:val="20"/>
              </w:rPr>
              <w:t>896</w:t>
            </w:r>
            <w:r>
              <w:rPr>
                <w:rFonts w:ascii="Arial" w:hAnsi="Arial" w:cs="Arial"/>
                <w:sz w:val="20"/>
                <w:szCs w:val="20"/>
              </w:rPr>
              <w:t>,</w:t>
            </w:r>
            <w:r w:rsidRPr="002870C0">
              <w:rPr>
                <w:rFonts w:ascii="Arial" w:hAnsi="Arial" w:cs="Arial"/>
                <w:sz w:val="20"/>
                <w:szCs w:val="20"/>
              </w:rPr>
              <w:t>24</w:t>
            </w:r>
          </w:p>
        </w:tc>
        <w:tc>
          <w:tcPr>
            <w:tcW w:w="3182" w:type="dxa"/>
            <w:vAlign w:val="center"/>
          </w:tcPr>
          <w:p w14:paraId="38A2DEE3" w14:textId="77777777" w:rsidR="00A74C15" w:rsidRPr="002870C0" w:rsidRDefault="00A74C15" w:rsidP="00D95AFE">
            <w:pPr>
              <w:jc w:val="right"/>
              <w:rPr>
                <w:rFonts w:ascii="Arial" w:hAnsi="Arial" w:cs="Arial"/>
                <w:sz w:val="20"/>
                <w:szCs w:val="20"/>
                <w:highlight w:val="lightGray"/>
              </w:rPr>
            </w:pPr>
            <w:r w:rsidRPr="002870C0">
              <w:rPr>
                <w:rFonts w:ascii="Arial" w:hAnsi="Arial" w:cs="Arial"/>
                <w:color w:val="000000"/>
                <w:sz w:val="20"/>
                <w:szCs w:val="20"/>
              </w:rPr>
              <w:t>3,81%</w:t>
            </w:r>
          </w:p>
        </w:tc>
      </w:tr>
    </w:tbl>
    <w:p w14:paraId="44589E5C" w14:textId="77777777" w:rsidR="00A74C15" w:rsidRPr="001242AC" w:rsidRDefault="00A74C15" w:rsidP="00A74C15">
      <w:pPr>
        <w:rPr>
          <w:rFonts w:ascii="Arial" w:hAnsi="Arial" w:cs="Arial"/>
          <w:sz w:val="20"/>
        </w:rPr>
      </w:pPr>
    </w:p>
    <w:p w14:paraId="16BFF63B" w14:textId="77777777" w:rsidR="00A74C15" w:rsidRPr="001242AC" w:rsidRDefault="00A74C15" w:rsidP="00A74C15">
      <w:pPr>
        <w:rPr>
          <w:rFonts w:ascii="Arial" w:hAnsi="Arial" w:cs="Arial"/>
          <w:sz w:val="20"/>
        </w:rPr>
      </w:pPr>
      <w:r w:rsidRPr="001242AC">
        <w:rPr>
          <w:rFonts w:ascii="Arial" w:hAnsi="Arial" w:cs="Arial"/>
          <w:sz w:val="20"/>
        </w:rPr>
        <w:t xml:space="preserve">Audience de la CFE-CGC dans les collèges électoraux dans lesquels ses règles statutaires lui donnent vocation à présenter des candidats : </w:t>
      </w:r>
      <w:r>
        <w:rPr>
          <w:rFonts w:ascii="Arial" w:hAnsi="Arial" w:cs="Arial"/>
          <w:sz w:val="20"/>
        </w:rPr>
        <w:t>20,71</w:t>
      </w:r>
      <w:r w:rsidRPr="001242AC">
        <w:rPr>
          <w:rFonts w:ascii="Arial" w:hAnsi="Arial" w:cs="Arial"/>
          <w:sz w:val="20"/>
        </w:rPr>
        <w:t xml:space="preserve"> %.</w:t>
      </w:r>
    </w:p>
    <w:p w14:paraId="5D5601DC" w14:textId="77777777" w:rsidR="00A74C15" w:rsidRPr="001242AC" w:rsidRDefault="00A74C15" w:rsidP="00A74C15">
      <w:pPr>
        <w:rPr>
          <w:rFonts w:ascii="Arial" w:hAnsi="Arial" w:cs="Arial"/>
          <w:sz w:val="20"/>
        </w:rPr>
      </w:pPr>
    </w:p>
    <w:p w14:paraId="47923940" w14:textId="77777777" w:rsidR="00A74C15" w:rsidRPr="001242AC" w:rsidRDefault="00A74C15" w:rsidP="00A74C15">
      <w:pPr>
        <w:rPr>
          <w:rFonts w:ascii="Arial" w:hAnsi="Arial" w:cs="Arial"/>
        </w:rPr>
      </w:pPr>
    </w:p>
    <w:p w14:paraId="27301C92" w14:textId="77777777" w:rsidR="0058577B" w:rsidRPr="001242AC" w:rsidRDefault="0058577B" w:rsidP="00A74C15">
      <w:pPr>
        <w:spacing w:after="160" w:line="259" w:lineRule="auto"/>
        <w:rPr>
          <w:rFonts w:ascii="Arial" w:hAnsi="Arial" w:cs="Arial"/>
        </w:rPr>
      </w:pPr>
    </w:p>
    <w:sectPr w:rsidR="0058577B" w:rsidRPr="001242AC" w:rsidSect="0058577B">
      <w:headerReference w:type="default" r:id="rId11"/>
      <w:pgSz w:w="11906" w:h="16838"/>
      <w:pgMar w:top="993" w:right="1133"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140CF" w14:textId="77777777" w:rsidR="00883860" w:rsidRDefault="00883860" w:rsidP="0058577B">
      <w:r>
        <w:separator/>
      </w:r>
    </w:p>
  </w:endnote>
  <w:endnote w:type="continuationSeparator" w:id="0">
    <w:p w14:paraId="008214C5" w14:textId="77777777" w:rsidR="00883860" w:rsidRDefault="00883860" w:rsidP="0058577B">
      <w:r>
        <w:continuationSeparator/>
      </w:r>
    </w:p>
  </w:endnote>
  <w:endnote w:id="1">
    <w:p w14:paraId="6D0559CB" w14:textId="77777777" w:rsidR="00A74C15" w:rsidRPr="001242AC" w:rsidRDefault="00A74C15" w:rsidP="00A74C15">
      <w:pPr>
        <w:pStyle w:val="Notedefin"/>
        <w:rPr>
          <w:rFonts w:ascii="Arial" w:hAnsi="Arial" w:cs="Arial"/>
          <w:sz w:val="16"/>
        </w:rPr>
      </w:pPr>
      <w:r w:rsidRPr="001242AC">
        <w:rPr>
          <w:rStyle w:val="Appeldenotedefin"/>
          <w:rFonts w:ascii="Arial" w:hAnsi="Arial" w:cs="Arial"/>
          <w:sz w:val="16"/>
        </w:rPr>
        <w:endnoteRef/>
      </w:r>
      <w:r w:rsidRPr="001242AC">
        <w:rPr>
          <w:rFonts w:ascii="Arial" w:hAnsi="Arial" w:cs="Arial"/>
          <w:sz w:val="16"/>
        </w:rPr>
        <w:t xml:space="preserve"> Le nombre de salariés inscrits correspond au nombre de salariés inscrits sur les listes électorales des entreprises dont les procès-verbaux d’élections professionnelles sont pris en compte, du scrutin TPE et du collège des salariés de la production agricole de l’élection aux chambres départementales d’agriculture</w:t>
      </w:r>
    </w:p>
    <w:p w14:paraId="0152B890" w14:textId="77777777" w:rsidR="00A74C15" w:rsidRPr="001242AC" w:rsidRDefault="00A74C15" w:rsidP="00A74C15">
      <w:pPr>
        <w:pStyle w:val="Notedefin"/>
        <w:rPr>
          <w:rFonts w:ascii="Arial" w:hAnsi="Arial" w:cs="Arial"/>
          <w:sz w:val="16"/>
        </w:rPr>
      </w:pPr>
    </w:p>
  </w:endnote>
  <w:endnote w:id="2">
    <w:p w14:paraId="5D7F0A82" w14:textId="77777777" w:rsidR="00A74C15" w:rsidRPr="001242AC" w:rsidRDefault="00A74C15" w:rsidP="00A74C15">
      <w:pPr>
        <w:pStyle w:val="Notedefin"/>
        <w:rPr>
          <w:rFonts w:ascii="Arial" w:hAnsi="Arial" w:cs="Arial"/>
          <w:sz w:val="16"/>
        </w:rPr>
      </w:pPr>
      <w:r w:rsidRPr="001242AC">
        <w:rPr>
          <w:rStyle w:val="Appeldenotedefin"/>
          <w:rFonts w:ascii="Arial" w:hAnsi="Arial" w:cs="Arial"/>
          <w:sz w:val="16"/>
        </w:rPr>
        <w:endnoteRef/>
      </w:r>
      <w:r w:rsidRPr="001242AC">
        <w:rPr>
          <w:rFonts w:ascii="Arial" w:hAnsi="Arial" w:cs="Arial"/>
          <w:sz w:val="16"/>
        </w:rPr>
        <w:t xml:space="preserve"> Le nombre de suffrages valablement exprimés correspond au nombre de votants moins les suffrages blancs et nuls</w:t>
      </w:r>
      <w:r>
        <w:rPr>
          <w:rFonts w:ascii="Arial" w:hAnsi="Arial" w:cs="Arial"/>
          <w:sz w:val="16"/>
        </w:rPr>
        <w:t xml:space="preserve">. Ce nombre comprend </w:t>
      </w:r>
      <w:r w:rsidRPr="00A93FCB">
        <w:rPr>
          <w:rFonts w:ascii="Arial" w:hAnsi="Arial" w:cs="Arial"/>
          <w:sz w:val="16"/>
        </w:rPr>
        <w:t>6928,14 SVE attribuables à la C.F.E / C.G.C hors collèges techniciens, agents de maîtrise, ingénieurs et cadres</w:t>
      </w:r>
    </w:p>
    <w:p w14:paraId="6DC2FEC8" w14:textId="77777777" w:rsidR="00A74C15" w:rsidRPr="001242AC" w:rsidRDefault="00A74C15" w:rsidP="00A74C15">
      <w:pPr>
        <w:pStyle w:val="Notedefin"/>
        <w:rPr>
          <w:rFonts w:ascii="Arial" w:hAnsi="Arial" w:cs="Arial"/>
          <w:sz w:val="16"/>
        </w:rPr>
      </w:pPr>
    </w:p>
  </w:endnote>
  <w:endnote w:id="3">
    <w:p w14:paraId="6CB536FD" w14:textId="77777777" w:rsidR="00A74C15" w:rsidRPr="001242AC" w:rsidRDefault="00A74C15" w:rsidP="00A74C15">
      <w:pPr>
        <w:pStyle w:val="Notedefin"/>
        <w:rPr>
          <w:rFonts w:ascii="Arial" w:hAnsi="Arial" w:cs="Arial"/>
          <w:sz w:val="16"/>
        </w:rPr>
      </w:pPr>
      <w:r w:rsidRPr="001242AC">
        <w:rPr>
          <w:rStyle w:val="Appeldenotedefin"/>
          <w:rFonts w:ascii="Arial" w:hAnsi="Arial" w:cs="Arial"/>
          <w:sz w:val="16"/>
        </w:rPr>
        <w:endnoteRef/>
      </w:r>
      <w:r w:rsidRPr="001242AC">
        <w:rPr>
          <w:rFonts w:ascii="Arial" w:hAnsi="Arial" w:cs="Arial"/>
          <w:sz w:val="16"/>
        </w:rPr>
        <w:t xml:space="preserve"> Le taux de participation est calculé à partir du nombre de votants rapporté au nombre d’inscrits</w:t>
      </w:r>
    </w:p>
    <w:p w14:paraId="7F0B7D52" w14:textId="77777777" w:rsidR="00A74C15" w:rsidRPr="001242AC" w:rsidRDefault="00A74C15" w:rsidP="00A74C15">
      <w:pPr>
        <w:pStyle w:val="Notedefin"/>
        <w:rPr>
          <w:rFonts w:ascii="Arial" w:hAnsi="Arial" w:cs="Arial"/>
          <w:sz w:val="16"/>
        </w:rPr>
      </w:pPr>
    </w:p>
  </w:endnote>
  <w:endnote w:id="4">
    <w:p w14:paraId="76D3A4E7" w14:textId="77777777" w:rsidR="00A74C15" w:rsidRPr="001242AC" w:rsidRDefault="00A74C15" w:rsidP="00A74C15">
      <w:pPr>
        <w:pStyle w:val="Notedefin"/>
        <w:rPr>
          <w:rFonts w:ascii="Arial" w:hAnsi="Arial" w:cs="Arial"/>
          <w:sz w:val="16"/>
        </w:rPr>
      </w:pPr>
      <w:r w:rsidRPr="001242AC">
        <w:rPr>
          <w:rStyle w:val="Appeldenotedefin"/>
          <w:rFonts w:ascii="Arial" w:hAnsi="Arial" w:cs="Arial"/>
          <w:sz w:val="16"/>
        </w:rPr>
        <w:endnoteRef/>
      </w:r>
      <w:r w:rsidRPr="001242AC">
        <w:rPr>
          <w:rFonts w:ascii="Arial" w:hAnsi="Arial" w:cs="Arial"/>
          <w:sz w:val="16"/>
        </w:rPr>
        <w:t xml:space="preserve"> Le nombre de suffrages valablement exprimés comporte des décimales en raison des répartitions de voix au sein des listes communes qui s’expriment en pourcentage du nombre total de suffrages recueillis par celles-ci</w:t>
      </w:r>
    </w:p>
    <w:p w14:paraId="306A2456" w14:textId="77777777" w:rsidR="00A74C15" w:rsidRPr="001242AC" w:rsidRDefault="00A74C15" w:rsidP="00A74C15">
      <w:pPr>
        <w:pStyle w:val="Notedefin"/>
        <w:rPr>
          <w:rFonts w:ascii="Arial" w:hAnsi="Arial" w:cs="Arial"/>
          <w:sz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2FE6D" w14:textId="77777777" w:rsidR="00883860" w:rsidRDefault="00883860" w:rsidP="0058577B">
      <w:r>
        <w:separator/>
      </w:r>
    </w:p>
  </w:footnote>
  <w:footnote w:type="continuationSeparator" w:id="0">
    <w:p w14:paraId="74C862B0" w14:textId="77777777" w:rsidR="00883860" w:rsidRDefault="00883860" w:rsidP="0058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825374"/>
      <w:docPartObj>
        <w:docPartGallery w:val="Page Numbers (Top of Page)"/>
        <w:docPartUnique/>
      </w:docPartObj>
    </w:sdtPr>
    <w:sdtEndPr/>
    <w:sdtContent>
      <w:p w14:paraId="0F6A772D" w14:textId="4DD38CB6" w:rsidR="006B08AC" w:rsidRDefault="006B08AC">
        <w:pPr>
          <w:pStyle w:val="En-tte"/>
          <w:jc w:val="right"/>
        </w:pPr>
        <w:r>
          <w:fldChar w:fldCharType="begin"/>
        </w:r>
        <w:r>
          <w:instrText>PAGE   \* MERGEFORMAT</w:instrText>
        </w:r>
        <w:r>
          <w:fldChar w:fldCharType="separate"/>
        </w:r>
        <w:r w:rsidR="00B6553B">
          <w:rPr>
            <w:noProof/>
          </w:rPr>
          <w:t>1</w:t>
        </w:r>
        <w:r>
          <w:fldChar w:fldCharType="end"/>
        </w:r>
      </w:p>
    </w:sdtContent>
  </w:sdt>
  <w:p w14:paraId="026ABB10" w14:textId="77777777" w:rsidR="006B08AC" w:rsidRDefault="006B08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61FF7"/>
    <w:multiLevelType w:val="hybridMultilevel"/>
    <w:tmpl w:val="98BCE2BE"/>
    <w:lvl w:ilvl="0" w:tplc="FA52E2F6">
      <w:numFmt w:val="bullet"/>
      <w:lvlText w:val="-"/>
      <w:lvlJc w:val="left"/>
      <w:pPr>
        <w:ind w:left="1060" w:hanging="360"/>
      </w:pPr>
      <w:rPr>
        <w:rFonts w:ascii="Cambria" w:eastAsia="Calibri" w:hAnsi="Cambria"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4C093AED"/>
    <w:multiLevelType w:val="hybridMultilevel"/>
    <w:tmpl w:val="F934D574"/>
    <w:lvl w:ilvl="0" w:tplc="B61CC256">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7B"/>
    <w:rsid w:val="00026FFE"/>
    <w:rsid w:val="00102265"/>
    <w:rsid w:val="001242AC"/>
    <w:rsid w:val="001901FD"/>
    <w:rsid w:val="001A20E1"/>
    <w:rsid w:val="001A7152"/>
    <w:rsid w:val="0020673A"/>
    <w:rsid w:val="002D51B2"/>
    <w:rsid w:val="003D415D"/>
    <w:rsid w:val="003E7FE4"/>
    <w:rsid w:val="004663DE"/>
    <w:rsid w:val="005055ED"/>
    <w:rsid w:val="0058577B"/>
    <w:rsid w:val="005F4397"/>
    <w:rsid w:val="006409D8"/>
    <w:rsid w:val="006B08AC"/>
    <w:rsid w:val="007C7A38"/>
    <w:rsid w:val="00883860"/>
    <w:rsid w:val="008C32EC"/>
    <w:rsid w:val="00911272"/>
    <w:rsid w:val="00A32B53"/>
    <w:rsid w:val="00A37E2E"/>
    <w:rsid w:val="00A74C15"/>
    <w:rsid w:val="00B6553B"/>
    <w:rsid w:val="00B85CA9"/>
    <w:rsid w:val="00C279FB"/>
    <w:rsid w:val="00CC0354"/>
    <w:rsid w:val="00D851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F662"/>
  <w15:chartTrackingRefBased/>
  <w15:docId w15:val="{058EA232-D4D7-4722-8805-26028518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8577B"/>
    <w:rPr>
      <w:b/>
      <w:bCs/>
    </w:rPr>
  </w:style>
  <w:style w:type="paragraph" w:styleId="Paragraphedeliste">
    <w:name w:val="List Paragraph"/>
    <w:basedOn w:val="Normal"/>
    <w:uiPriority w:val="34"/>
    <w:qFormat/>
    <w:rsid w:val="0058577B"/>
    <w:pPr>
      <w:spacing w:line="276" w:lineRule="auto"/>
      <w:ind w:left="720"/>
      <w:contextualSpacing/>
    </w:pPr>
    <w:rPr>
      <w:rFonts w:ascii="Arial" w:eastAsia="Arial" w:hAnsi="Arial" w:cs="Arial"/>
      <w:lang w:val="fr" w:eastAsia="fr-FR"/>
    </w:rPr>
  </w:style>
  <w:style w:type="character" w:styleId="Lienhypertexte">
    <w:name w:val="Hyperlink"/>
    <w:basedOn w:val="Policepardfaut"/>
    <w:uiPriority w:val="99"/>
    <w:unhideWhenUsed/>
    <w:rsid w:val="0058577B"/>
    <w:rPr>
      <w:color w:val="0563C1" w:themeColor="hyperlink"/>
      <w:u w:val="single"/>
    </w:rPr>
  </w:style>
  <w:style w:type="table" w:styleId="Grilledutableau">
    <w:name w:val="Table Grid"/>
    <w:basedOn w:val="TableauNormal"/>
    <w:uiPriority w:val="59"/>
    <w:rsid w:val="0058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58577B"/>
    <w:rPr>
      <w:rFonts w:ascii="Calibri" w:eastAsia="Calibri" w:hAnsi="Calibri" w:cs="Times New Roman"/>
      <w:sz w:val="20"/>
      <w:szCs w:val="20"/>
    </w:rPr>
  </w:style>
  <w:style w:type="character" w:customStyle="1" w:styleId="NotedefinCar">
    <w:name w:val="Note de fin Car"/>
    <w:basedOn w:val="Policepardfaut"/>
    <w:link w:val="Notedefin"/>
    <w:uiPriority w:val="99"/>
    <w:semiHidden/>
    <w:rsid w:val="0058577B"/>
    <w:rPr>
      <w:rFonts w:ascii="Calibri" w:eastAsia="Calibri" w:hAnsi="Calibri" w:cs="Times New Roman"/>
      <w:sz w:val="20"/>
      <w:szCs w:val="20"/>
    </w:rPr>
  </w:style>
  <w:style w:type="character" w:styleId="Appeldenotedefin">
    <w:name w:val="endnote reference"/>
    <w:basedOn w:val="Policepardfaut"/>
    <w:uiPriority w:val="99"/>
    <w:semiHidden/>
    <w:unhideWhenUsed/>
    <w:rsid w:val="0058577B"/>
    <w:rPr>
      <w:vertAlign w:val="superscript"/>
    </w:rPr>
  </w:style>
  <w:style w:type="character" w:styleId="Marquedecommentaire">
    <w:name w:val="annotation reference"/>
    <w:basedOn w:val="Policepardfaut"/>
    <w:uiPriority w:val="99"/>
    <w:semiHidden/>
    <w:unhideWhenUsed/>
    <w:rsid w:val="00026FFE"/>
    <w:rPr>
      <w:sz w:val="16"/>
      <w:szCs w:val="16"/>
    </w:rPr>
  </w:style>
  <w:style w:type="paragraph" w:styleId="Commentaire">
    <w:name w:val="annotation text"/>
    <w:basedOn w:val="Normal"/>
    <w:link w:val="CommentaireCar"/>
    <w:uiPriority w:val="99"/>
    <w:semiHidden/>
    <w:unhideWhenUsed/>
    <w:rsid w:val="00026FFE"/>
    <w:rPr>
      <w:sz w:val="20"/>
      <w:szCs w:val="20"/>
    </w:rPr>
  </w:style>
  <w:style w:type="character" w:customStyle="1" w:styleId="CommentaireCar">
    <w:name w:val="Commentaire Car"/>
    <w:basedOn w:val="Policepardfaut"/>
    <w:link w:val="Commentaire"/>
    <w:uiPriority w:val="99"/>
    <w:semiHidden/>
    <w:rsid w:val="00026FFE"/>
    <w:rPr>
      <w:sz w:val="20"/>
      <w:szCs w:val="20"/>
    </w:rPr>
  </w:style>
  <w:style w:type="paragraph" w:styleId="Objetducommentaire">
    <w:name w:val="annotation subject"/>
    <w:basedOn w:val="Commentaire"/>
    <w:next w:val="Commentaire"/>
    <w:link w:val="ObjetducommentaireCar"/>
    <w:uiPriority w:val="99"/>
    <w:semiHidden/>
    <w:unhideWhenUsed/>
    <w:rsid w:val="00026FFE"/>
    <w:rPr>
      <w:b/>
      <w:bCs/>
    </w:rPr>
  </w:style>
  <w:style w:type="character" w:customStyle="1" w:styleId="ObjetducommentaireCar">
    <w:name w:val="Objet du commentaire Car"/>
    <w:basedOn w:val="CommentaireCar"/>
    <w:link w:val="Objetducommentaire"/>
    <w:uiPriority w:val="99"/>
    <w:semiHidden/>
    <w:rsid w:val="00026FFE"/>
    <w:rPr>
      <w:b/>
      <w:bCs/>
      <w:sz w:val="20"/>
      <w:szCs w:val="20"/>
    </w:rPr>
  </w:style>
  <w:style w:type="paragraph" w:styleId="Textedebulles">
    <w:name w:val="Balloon Text"/>
    <w:basedOn w:val="Normal"/>
    <w:link w:val="TextedebullesCar"/>
    <w:uiPriority w:val="99"/>
    <w:semiHidden/>
    <w:unhideWhenUsed/>
    <w:rsid w:val="00026FFE"/>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6FFE"/>
    <w:rPr>
      <w:rFonts w:ascii="Segoe UI" w:hAnsi="Segoe UI" w:cs="Segoe UI"/>
      <w:sz w:val="18"/>
      <w:szCs w:val="18"/>
    </w:rPr>
  </w:style>
  <w:style w:type="paragraph" w:styleId="En-tte">
    <w:name w:val="header"/>
    <w:basedOn w:val="Normal"/>
    <w:link w:val="En-tteCar"/>
    <w:uiPriority w:val="99"/>
    <w:unhideWhenUsed/>
    <w:rsid w:val="006B08AC"/>
    <w:pPr>
      <w:tabs>
        <w:tab w:val="center" w:pos="4536"/>
        <w:tab w:val="right" w:pos="9072"/>
      </w:tabs>
    </w:pPr>
  </w:style>
  <w:style w:type="character" w:customStyle="1" w:styleId="En-tteCar">
    <w:name w:val="En-tête Car"/>
    <w:basedOn w:val="Policepardfaut"/>
    <w:link w:val="En-tte"/>
    <w:uiPriority w:val="99"/>
    <w:rsid w:val="006B08AC"/>
  </w:style>
  <w:style w:type="paragraph" w:styleId="Pieddepage">
    <w:name w:val="footer"/>
    <w:basedOn w:val="Normal"/>
    <w:link w:val="PieddepageCar"/>
    <w:uiPriority w:val="99"/>
    <w:unhideWhenUsed/>
    <w:rsid w:val="006B08AC"/>
    <w:pPr>
      <w:tabs>
        <w:tab w:val="center" w:pos="4536"/>
        <w:tab w:val="right" w:pos="9072"/>
      </w:tabs>
    </w:pPr>
  </w:style>
  <w:style w:type="character" w:customStyle="1" w:styleId="PieddepageCar">
    <w:name w:val="Pied de page Car"/>
    <w:basedOn w:val="Policepardfaut"/>
    <w:link w:val="Pieddepage"/>
    <w:uiPriority w:val="99"/>
    <w:rsid w:val="006B0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2637.0C08D0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ementine.negro@travail.gouv.fr" TargetMode="External"/><Relationship Id="rId4" Type="http://schemas.openxmlformats.org/officeDocument/2006/relationships/webSettings" Target="webSettings.xml"/><Relationship Id="rId9" Type="http://schemas.openxmlformats.org/officeDocument/2006/relationships/hyperlink" Target="http://www.elections-professionnelles.travai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CESARE, Fabienne (DGT)</dc:creator>
  <cp:keywords/>
  <dc:description/>
  <cp:lastModifiedBy>PINATEL-IGOA, Florence (DICOM/BUREAU DE LA COMMUNICATION DIGITALE)</cp:lastModifiedBy>
  <cp:revision>2</cp:revision>
  <dcterms:created xsi:type="dcterms:W3CDTF">2021-05-26T11:19:00Z</dcterms:created>
  <dcterms:modified xsi:type="dcterms:W3CDTF">2021-05-26T11:19:00Z</dcterms:modified>
</cp:coreProperties>
</file>