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775" w:rsidRDefault="00E53A8E">
      <w:pPr>
        <w:spacing w:after="3" w:line="259" w:lineRule="auto"/>
        <w:ind w:left="2146" w:right="0"/>
        <w:jc w:val="left"/>
      </w:pPr>
      <w:r>
        <w:rPr>
          <w:color w:val="156BA5"/>
          <w:sz w:val="20"/>
        </w:rPr>
        <w:t xml:space="preserve">Si vous avez des difficultés à visualiser cet email, </w:t>
      </w:r>
      <w:r>
        <w:rPr>
          <w:color w:val="156BA5"/>
          <w:sz w:val="20"/>
          <w:u w:val="single" w:color="156BA5"/>
        </w:rPr>
        <w:t>suivez ce lien</w:t>
      </w:r>
    </w:p>
    <w:p w:rsidR="003B0775" w:rsidRDefault="00E53A8E">
      <w:pPr>
        <w:spacing w:line="259" w:lineRule="auto"/>
        <w:ind w:left="0" w:right="0" w:firstLine="0"/>
        <w:jc w:val="left"/>
      </w:pPr>
      <w:r>
        <w:rPr>
          <w:rFonts w:ascii="Times New Roman" w:eastAsia="Times New Roman" w:hAnsi="Times New Roman" w:cs="Times New Roman"/>
          <w:color w:val="000000"/>
          <w:sz w:val="15"/>
        </w:rPr>
        <w:t xml:space="preserve"> </w:t>
      </w:r>
    </w:p>
    <w:p w:rsidR="003B0775" w:rsidRDefault="00E53A8E">
      <w:pPr>
        <w:spacing w:after="47" w:line="259" w:lineRule="auto"/>
        <w:ind w:left="8" w:right="0" w:firstLine="0"/>
        <w:jc w:val="left"/>
      </w:pPr>
      <w:r>
        <w:rPr>
          <w:noProof/>
        </w:rPr>
        <w:drawing>
          <wp:inline distT="0" distB="0" distL="0" distR="0">
            <wp:extent cx="1715297" cy="1010119"/>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6"/>
                    <a:stretch>
                      <a:fillRect/>
                    </a:stretch>
                  </pic:blipFill>
                  <pic:spPr>
                    <a:xfrm>
                      <a:off x="0" y="0"/>
                      <a:ext cx="1715297" cy="1010119"/>
                    </a:xfrm>
                    <a:prstGeom prst="rect">
                      <a:avLst/>
                    </a:prstGeom>
                  </pic:spPr>
                </pic:pic>
              </a:graphicData>
            </a:graphic>
          </wp:inline>
        </w:drawing>
      </w:r>
    </w:p>
    <w:tbl>
      <w:tblPr>
        <w:tblStyle w:val="TableGrid"/>
        <w:tblW w:w="9052" w:type="dxa"/>
        <w:tblInd w:w="378" w:type="dxa"/>
        <w:tblLook w:val="04A0" w:firstRow="1" w:lastRow="0" w:firstColumn="1" w:lastColumn="0" w:noHBand="0" w:noVBand="1"/>
      </w:tblPr>
      <w:tblGrid>
        <w:gridCol w:w="2932"/>
        <w:gridCol w:w="3715"/>
        <w:gridCol w:w="2405"/>
      </w:tblGrid>
      <w:tr w:rsidR="003B0775">
        <w:trPr>
          <w:trHeight w:val="455"/>
        </w:trPr>
        <w:tc>
          <w:tcPr>
            <w:tcW w:w="2932" w:type="dxa"/>
            <w:tcBorders>
              <w:top w:val="nil"/>
              <w:left w:val="nil"/>
              <w:bottom w:val="nil"/>
              <w:right w:val="nil"/>
            </w:tcBorders>
          </w:tcPr>
          <w:p w:rsidR="003B0775" w:rsidRDefault="003B0775">
            <w:pPr>
              <w:spacing w:after="160" w:line="259" w:lineRule="auto"/>
              <w:ind w:left="0" w:right="0" w:firstLine="0"/>
              <w:jc w:val="left"/>
            </w:pPr>
          </w:p>
        </w:tc>
        <w:tc>
          <w:tcPr>
            <w:tcW w:w="3716" w:type="dxa"/>
            <w:tcBorders>
              <w:top w:val="nil"/>
              <w:left w:val="nil"/>
              <w:bottom w:val="nil"/>
              <w:right w:val="nil"/>
            </w:tcBorders>
          </w:tcPr>
          <w:p w:rsidR="003B0775" w:rsidRDefault="00E53A8E">
            <w:pPr>
              <w:spacing w:line="259" w:lineRule="auto"/>
              <w:ind w:left="1530" w:right="0" w:firstLine="0"/>
              <w:jc w:val="left"/>
            </w:pPr>
            <w:r>
              <w:rPr>
                <w:rFonts w:ascii="Times New Roman" w:eastAsia="Times New Roman" w:hAnsi="Times New Roman" w:cs="Times New Roman"/>
                <w:color w:val="000000"/>
                <w:sz w:val="30"/>
              </w:rPr>
              <w:t xml:space="preserve"> </w:t>
            </w:r>
          </w:p>
        </w:tc>
        <w:tc>
          <w:tcPr>
            <w:tcW w:w="2405" w:type="dxa"/>
            <w:tcBorders>
              <w:top w:val="nil"/>
              <w:left w:val="nil"/>
              <w:bottom w:val="nil"/>
              <w:right w:val="nil"/>
            </w:tcBorders>
          </w:tcPr>
          <w:p w:rsidR="003B0775" w:rsidRDefault="003B0775">
            <w:pPr>
              <w:spacing w:after="160" w:line="259" w:lineRule="auto"/>
              <w:ind w:left="0" w:right="0" w:firstLine="0"/>
              <w:jc w:val="left"/>
            </w:pPr>
          </w:p>
        </w:tc>
      </w:tr>
      <w:tr w:rsidR="003B0775">
        <w:trPr>
          <w:trHeight w:val="5130"/>
        </w:trPr>
        <w:tc>
          <w:tcPr>
            <w:tcW w:w="2932" w:type="dxa"/>
            <w:tcBorders>
              <w:top w:val="nil"/>
              <w:left w:val="nil"/>
              <w:bottom w:val="nil"/>
              <w:right w:val="nil"/>
            </w:tcBorders>
          </w:tcPr>
          <w:p w:rsidR="003B0775" w:rsidRDefault="00E53A8E">
            <w:pPr>
              <w:spacing w:after="73" w:line="259" w:lineRule="auto"/>
              <w:ind w:left="279" w:right="0" w:firstLine="0"/>
              <w:jc w:val="left"/>
            </w:pPr>
            <w:r>
              <w:rPr>
                <w:b/>
                <w:color w:val="000000"/>
                <w:sz w:val="26"/>
              </w:rPr>
              <w:t>Elisabeth Borne</w:t>
            </w:r>
          </w:p>
          <w:p w:rsidR="003B0775" w:rsidRDefault="00E53A8E">
            <w:pPr>
              <w:spacing w:after="990" w:line="319" w:lineRule="auto"/>
              <w:ind w:left="484" w:right="0" w:hanging="484"/>
              <w:jc w:val="left"/>
            </w:pPr>
            <w:r>
              <w:rPr>
                <w:color w:val="000000"/>
                <w:sz w:val="26"/>
              </w:rPr>
              <w:t>Ministre du Travail, de l’Emploi et de l’Insertion</w:t>
            </w:r>
          </w:p>
          <w:p w:rsidR="003B0775" w:rsidRDefault="00E53A8E">
            <w:pPr>
              <w:spacing w:after="73" w:line="259" w:lineRule="auto"/>
              <w:ind w:left="258" w:right="0" w:firstLine="0"/>
              <w:jc w:val="left"/>
            </w:pPr>
            <w:r>
              <w:rPr>
                <w:sz w:val="26"/>
              </w:rPr>
              <w:t xml:space="preserve"> </w:t>
            </w:r>
            <w:r>
              <w:rPr>
                <w:b/>
                <w:color w:val="000000"/>
                <w:sz w:val="26"/>
              </w:rPr>
              <w:t xml:space="preserve">Brigitte </w:t>
            </w:r>
            <w:proofErr w:type="spellStart"/>
            <w:r>
              <w:rPr>
                <w:b/>
                <w:color w:val="000000"/>
                <w:sz w:val="26"/>
              </w:rPr>
              <w:t>Klinkert</w:t>
            </w:r>
            <w:proofErr w:type="spellEnd"/>
          </w:p>
          <w:p w:rsidR="003B0775" w:rsidRDefault="00E53A8E">
            <w:pPr>
              <w:spacing w:line="259" w:lineRule="auto"/>
              <w:ind w:left="708" w:right="0" w:hanging="571"/>
              <w:jc w:val="left"/>
            </w:pPr>
            <w:r>
              <w:rPr>
                <w:sz w:val="26"/>
              </w:rPr>
              <w:t>Ministre déléguée à l'Insertion</w:t>
            </w:r>
          </w:p>
        </w:tc>
        <w:tc>
          <w:tcPr>
            <w:tcW w:w="3716" w:type="dxa"/>
            <w:tcBorders>
              <w:top w:val="nil"/>
              <w:left w:val="nil"/>
              <w:bottom w:val="nil"/>
              <w:right w:val="nil"/>
            </w:tcBorders>
            <w:vAlign w:val="bottom"/>
          </w:tcPr>
          <w:p w:rsidR="003B0775" w:rsidRDefault="00E53A8E">
            <w:pPr>
              <w:spacing w:after="73" w:line="259" w:lineRule="auto"/>
              <w:ind w:left="0" w:right="71" w:firstLine="0"/>
              <w:jc w:val="center"/>
            </w:pPr>
            <w:r>
              <w:rPr>
                <w:b/>
                <w:color w:val="000000"/>
                <w:sz w:val="26"/>
              </w:rPr>
              <w:t>J</w:t>
            </w:r>
            <w:r w:rsidR="00AA1C34">
              <w:rPr>
                <w:b/>
                <w:color w:val="000000"/>
                <w:sz w:val="26"/>
              </w:rPr>
              <w:t>oël</w:t>
            </w:r>
            <w:r>
              <w:rPr>
                <w:b/>
                <w:color w:val="000000"/>
                <w:sz w:val="26"/>
              </w:rPr>
              <w:t xml:space="preserve"> G</w:t>
            </w:r>
            <w:r w:rsidR="00AA1C34">
              <w:rPr>
                <w:b/>
                <w:color w:val="000000"/>
                <w:sz w:val="26"/>
              </w:rPr>
              <w:t>iraud</w:t>
            </w:r>
          </w:p>
          <w:p w:rsidR="003B0775" w:rsidRDefault="00E53A8E">
            <w:pPr>
              <w:spacing w:after="2371" w:line="319" w:lineRule="auto"/>
              <w:ind w:left="341" w:right="0" w:hanging="92"/>
              <w:jc w:val="left"/>
            </w:pPr>
            <w:r>
              <w:rPr>
                <w:sz w:val="26"/>
              </w:rPr>
              <w:t>Ministre de la Cohésion des territoires et des Relations avec les collectivités territoriales</w:t>
            </w:r>
          </w:p>
          <w:p w:rsidR="003B0775" w:rsidRDefault="00E53A8E">
            <w:pPr>
              <w:spacing w:after="77" w:line="259" w:lineRule="auto"/>
              <w:ind w:left="0" w:right="0" w:firstLine="0"/>
              <w:jc w:val="left"/>
            </w:pPr>
            <w:r>
              <w:rPr>
                <w:b/>
                <w:color w:val="000000"/>
                <w:sz w:val="24"/>
              </w:rPr>
              <w:t>COMMUNIQUÉ DE PRESSE</w:t>
            </w:r>
          </w:p>
          <w:p w:rsidR="003B0775" w:rsidRDefault="00E53A8E">
            <w:pPr>
              <w:spacing w:line="259" w:lineRule="auto"/>
              <w:ind w:left="1530" w:right="0" w:firstLine="0"/>
              <w:jc w:val="left"/>
            </w:pPr>
            <w:r>
              <w:rPr>
                <w:rFonts w:ascii="Times New Roman" w:eastAsia="Times New Roman" w:hAnsi="Times New Roman" w:cs="Times New Roman"/>
                <w:color w:val="000000"/>
                <w:sz w:val="30"/>
              </w:rPr>
              <w:t xml:space="preserve"> </w:t>
            </w:r>
          </w:p>
        </w:tc>
        <w:tc>
          <w:tcPr>
            <w:tcW w:w="2405" w:type="dxa"/>
            <w:tcBorders>
              <w:top w:val="nil"/>
              <w:left w:val="nil"/>
              <w:bottom w:val="nil"/>
              <w:right w:val="nil"/>
            </w:tcBorders>
          </w:tcPr>
          <w:p w:rsidR="003B0775" w:rsidRDefault="00E53A8E">
            <w:pPr>
              <w:spacing w:after="73" w:line="259" w:lineRule="auto"/>
              <w:ind w:left="568" w:right="0" w:firstLine="0"/>
              <w:jc w:val="left"/>
            </w:pPr>
            <w:r>
              <w:rPr>
                <w:b/>
                <w:color w:val="000000"/>
                <w:sz w:val="26"/>
              </w:rPr>
              <w:t xml:space="preserve">Olivier </w:t>
            </w:r>
            <w:proofErr w:type="spellStart"/>
            <w:r>
              <w:rPr>
                <w:b/>
                <w:color w:val="000000"/>
                <w:sz w:val="26"/>
              </w:rPr>
              <w:t>Véran</w:t>
            </w:r>
            <w:proofErr w:type="spellEnd"/>
          </w:p>
          <w:p w:rsidR="003B0775" w:rsidRDefault="00E53A8E">
            <w:pPr>
              <w:spacing w:after="73" w:line="259" w:lineRule="auto"/>
              <w:ind w:left="668" w:right="0" w:firstLine="0"/>
              <w:jc w:val="left"/>
            </w:pPr>
            <w:r>
              <w:rPr>
                <w:color w:val="000000"/>
                <w:sz w:val="26"/>
              </w:rPr>
              <w:t>Ministre des</w:t>
            </w:r>
          </w:p>
          <w:p w:rsidR="003B0775" w:rsidRDefault="00E53A8E">
            <w:pPr>
              <w:spacing w:after="73" w:line="259" w:lineRule="auto"/>
              <w:ind w:left="0" w:right="0" w:firstLine="0"/>
              <w:jc w:val="right"/>
            </w:pPr>
            <w:r>
              <w:rPr>
                <w:color w:val="000000"/>
                <w:sz w:val="26"/>
              </w:rPr>
              <w:t>Solidarités et de la</w:t>
            </w:r>
          </w:p>
          <w:p w:rsidR="003B0775" w:rsidRDefault="00E53A8E">
            <w:pPr>
              <w:spacing w:line="259" w:lineRule="auto"/>
              <w:ind w:left="235" w:right="0" w:firstLine="0"/>
              <w:jc w:val="center"/>
            </w:pPr>
            <w:r>
              <w:rPr>
                <w:color w:val="000000"/>
                <w:sz w:val="26"/>
              </w:rPr>
              <w:t>Sant</w:t>
            </w:r>
            <w:bookmarkStart w:id="0" w:name="_GoBack"/>
            <w:bookmarkEnd w:id="0"/>
            <w:r>
              <w:rPr>
                <w:color w:val="000000"/>
                <w:sz w:val="26"/>
              </w:rPr>
              <w:t xml:space="preserve">é </w:t>
            </w:r>
          </w:p>
        </w:tc>
      </w:tr>
    </w:tbl>
    <w:p w:rsidR="003B0775" w:rsidRDefault="00E53A8E">
      <w:pPr>
        <w:spacing w:after="711" w:line="259" w:lineRule="auto"/>
        <w:ind w:left="0" w:right="0" w:firstLine="0"/>
        <w:jc w:val="right"/>
      </w:pPr>
      <w:r>
        <w:rPr>
          <w:color w:val="000000"/>
        </w:rPr>
        <w:t>Paris, le 07 mars 2022</w:t>
      </w:r>
    </w:p>
    <w:p w:rsidR="003B0775" w:rsidRDefault="00E53A8E">
      <w:pPr>
        <w:spacing w:after="600" w:line="319" w:lineRule="auto"/>
        <w:ind w:left="300" w:right="2" w:firstLine="0"/>
      </w:pPr>
      <w:r>
        <w:rPr>
          <w:b/>
          <w:color w:val="000000"/>
          <w:sz w:val="26"/>
        </w:rPr>
        <w:t>Pour renforcer l’insertion des bénéficiaires du RSA, l’Etat ouvre l’expérimentation de la recentralisation du financement du RSA à deux départements dès cette année</w:t>
      </w:r>
    </w:p>
    <w:p w:rsidR="003B0775" w:rsidRDefault="00E53A8E">
      <w:pPr>
        <w:ind w:left="295" w:right="-5"/>
      </w:pPr>
      <w:r>
        <w:t>Une nouvelle étape est franchie pour renforcer l’insertion des bénéficiaires du RSA. Le décret n° 2022-322 du 4 mars 2022 relatif à la liste des départements retenus pour participer à l'expérimentation prévue par l'article 43 de la loi n° 2021-1900 du 30 décembre 2021 de finances pour 2022 acte le début de l’expérimentation en Seine-S</w:t>
      </w:r>
      <w:r w:rsidR="00111A8F">
        <w:t>aint-Denis et dans les Pyrénées-</w:t>
      </w:r>
      <w:r>
        <w:t>Orientales. Dès 2022, et durant les cinq prochaines années, l’Etat reprend à sa charge le paiement de l’allocation et les caisses d’allocations familiales et de mutualité sociale agricole sa gestion.</w:t>
      </w:r>
    </w:p>
    <w:p w:rsidR="003B0775" w:rsidRDefault="00E53A8E">
      <w:pPr>
        <w:ind w:left="295" w:right="-5"/>
      </w:pPr>
      <w:r>
        <w:t>Cette expérimentation doit permettre d’intensifier l’accompagnement et d’augmenter les solutions d’insertion pour favoriser le retour à l’emploi des bénéficiaires du RSA dans des territoires confrontés à des difficultés exceptionnelles.</w:t>
      </w:r>
    </w:p>
    <w:p w:rsidR="003B0775" w:rsidRDefault="00E53A8E">
      <w:pPr>
        <w:spacing w:line="259" w:lineRule="auto"/>
        <w:ind w:left="300" w:right="0" w:firstLine="0"/>
        <w:jc w:val="left"/>
      </w:pPr>
      <w:r>
        <w:rPr>
          <w:sz w:val="26"/>
        </w:rPr>
        <w:t xml:space="preserve"> </w:t>
      </w:r>
    </w:p>
    <w:p w:rsidR="003B0775" w:rsidRDefault="00E53A8E">
      <w:pPr>
        <w:ind w:left="295" w:right="-5"/>
      </w:pPr>
      <w:r>
        <w:lastRenderedPageBreak/>
        <w:t>Alors que la crise sanitaire avait touché plus durement certains territoires, le gouvernement a décidé d’étendre dès cette année cette possibilité d’expérimentation, déjà à l’œuvre en Guyane, à Mayotte et à la Réunion. Il répond ainsi au souhait exprimé par plusieurs Départements lors de la concertation menée dans le cadre de la loi 3DS.</w:t>
      </w:r>
    </w:p>
    <w:p w:rsidR="003B0775" w:rsidRDefault="00E53A8E">
      <w:pPr>
        <w:spacing w:after="73" w:line="259" w:lineRule="auto"/>
        <w:ind w:left="300" w:right="0" w:firstLine="0"/>
        <w:jc w:val="left"/>
      </w:pPr>
      <w:r>
        <w:rPr>
          <w:sz w:val="26"/>
        </w:rPr>
        <w:t xml:space="preserve"> </w:t>
      </w:r>
    </w:p>
    <w:p w:rsidR="003B0775" w:rsidRDefault="00E53A8E">
      <w:pPr>
        <w:ind w:left="295" w:right="-5"/>
      </w:pPr>
      <w:r>
        <w:t>Les Départements concernés sont caractérisés par un reste à charge au titre du RSA et une proportion de bénéficiaires du RSA significativement plus importants que la moyenne nationale, ainsi que par un revenu moyen par habitant significativement plus faible que la moyenne nationale.</w:t>
      </w:r>
    </w:p>
    <w:p w:rsidR="003B0775" w:rsidRDefault="00E53A8E">
      <w:pPr>
        <w:ind w:left="295" w:right="-5"/>
      </w:pPr>
      <w:r>
        <w:t>La Seine-Saint-Denis connaît un taux de pauvreté de 28,6%, égal au double de la moyenne nationale et compte 90 000 bénéficiaires du RSA dont 44% de bénéficiaires inscrits à l’allocation depuis plus de 5 ans.</w:t>
      </w:r>
    </w:p>
    <w:p w:rsidR="003B0775" w:rsidRDefault="001159F2">
      <w:pPr>
        <w:ind w:left="295" w:right="-5"/>
      </w:pPr>
      <w:r>
        <w:t>Les Pyrénées-</w:t>
      </w:r>
      <w:r w:rsidR="00E53A8E">
        <w:t>Orientales connaissent un taux de pauvreté de 20,5% et une part de la population active bénéficiaire du RSA (9,8%) supérieure aux moyennes régionales (6,6%) et nationales (5,6%) ; 51% des bénéficiaires du RSA percevant l’allocation depuis plus de 5 ans.</w:t>
      </w:r>
    </w:p>
    <w:p w:rsidR="003B0775" w:rsidRDefault="00E53A8E">
      <w:pPr>
        <w:spacing w:after="73" w:line="259" w:lineRule="auto"/>
        <w:ind w:left="300" w:right="0" w:firstLine="0"/>
        <w:jc w:val="left"/>
      </w:pPr>
      <w:r>
        <w:rPr>
          <w:sz w:val="26"/>
        </w:rPr>
        <w:t xml:space="preserve"> </w:t>
      </w:r>
    </w:p>
    <w:p w:rsidR="003B0775" w:rsidRDefault="00E53A8E">
      <w:pPr>
        <w:ind w:left="295" w:right="-5"/>
      </w:pPr>
      <w:r>
        <w:t>La réussite de cette expérimentation se mesurera à l’aune de l’augmentation des moyens dédiés à l’insertion et des taux d’accès à l’emploi et à la formation qualifiante des bénéficiaires du RSA. Un dialogue constructif a permis de définir les actions d’insertion que les Départements se sont engagés à réaliser, tout en adaptant ces objectifs à la situation de chaque territoire.</w:t>
      </w:r>
    </w:p>
    <w:p w:rsidR="003B0775" w:rsidRDefault="00E53A8E">
      <w:pPr>
        <w:spacing w:after="73" w:line="259" w:lineRule="auto"/>
        <w:ind w:left="300" w:right="0" w:firstLine="0"/>
        <w:jc w:val="left"/>
      </w:pPr>
      <w:r>
        <w:rPr>
          <w:sz w:val="26"/>
        </w:rPr>
        <w:t xml:space="preserve"> </w:t>
      </w:r>
    </w:p>
    <w:p w:rsidR="003B0775" w:rsidRDefault="00E53A8E">
      <w:pPr>
        <w:ind w:left="295" w:right="-5"/>
      </w:pPr>
      <w:r>
        <w:t>D’ici 2026, en Seine-Saint-Denis, le nombre de référents dans les parcours sociaux et socio-professionnels sera doublé, passant de 170 à 340, ainsi que le nombre de places dans des actions d’insertion, passant de 6350 à 12700.</w:t>
      </w:r>
    </w:p>
    <w:p w:rsidR="003B0775" w:rsidRDefault="001159F2">
      <w:pPr>
        <w:ind w:left="295" w:right="-5"/>
      </w:pPr>
      <w:r>
        <w:t>D’ici 2026, dans les Pyrénées-</w:t>
      </w:r>
      <w:r w:rsidR="00E53A8E">
        <w:t>Orientales, le nombre de professionnels dédiés spécifiquement à l’accompagnement et à l’insertion des bénéficiaires du RSA augmentera de 77 ETP tandis que le nombre de places et d’aides financières individuelles pour la levée des freins mobilité et santé dans l’accès à l’emploi sera augmenté de 69%.</w:t>
      </w:r>
    </w:p>
    <w:p w:rsidR="003B0775" w:rsidRDefault="00E53A8E">
      <w:pPr>
        <w:ind w:left="295" w:right="-5"/>
      </w:pPr>
      <w:r>
        <w:t xml:space="preserve">Dans ces deux territoires, </w:t>
      </w:r>
      <w:r w:rsidR="001159F2">
        <w:t>É</w:t>
      </w:r>
      <w:r>
        <w:t>tat et Département suivront conjointement les réalisations et les résultats, en y associant les autres acteurs de l’emploi et de l’insertion.</w:t>
      </w:r>
    </w:p>
    <w:p w:rsidR="003B0775" w:rsidRDefault="00E53A8E">
      <w:pPr>
        <w:spacing w:after="73" w:line="259" w:lineRule="auto"/>
        <w:ind w:left="300" w:right="0" w:firstLine="0"/>
        <w:jc w:val="left"/>
      </w:pPr>
      <w:r>
        <w:rPr>
          <w:sz w:val="26"/>
        </w:rPr>
        <w:t xml:space="preserve"> </w:t>
      </w:r>
    </w:p>
    <w:p w:rsidR="003B0775" w:rsidRDefault="00E53A8E">
      <w:pPr>
        <w:spacing w:after="600"/>
        <w:ind w:left="295" w:right="-5"/>
      </w:pPr>
      <w:r>
        <w:t>Cette expérimentation s’inscrit ainsi pleinement dans la stratégie de prévention et de lutte contre la pauvreté et en cohérence avec l’ensemble des mesures prises pour favoriser l’insertion des personnes les plus éloignées de l’emploi, dont le service public de l’insertion et de l’emploi et le plan de relance pour l’inclusion.</w:t>
      </w:r>
    </w:p>
    <w:p w:rsidR="003B0775" w:rsidRDefault="00E53A8E">
      <w:pPr>
        <w:spacing w:line="259" w:lineRule="auto"/>
        <w:ind w:left="300" w:right="0" w:firstLine="0"/>
        <w:jc w:val="left"/>
      </w:pPr>
      <w:r>
        <w:rPr>
          <w:b/>
          <w:sz w:val="21"/>
        </w:rPr>
        <w:lastRenderedPageBreak/>
        <w:t>Contacts presse :</w:t>
      </w:r>
    </w:p>
    <w:p w:rsidR="003B0775" w:rsidRDefault="00E53A8E">
      <w:pPr>
        <w:spacing w:after="129" w:line="259" w:lineRule="auto"/>
        <w:ind w:left="295" w:right="0"/>
        <w:jc w:val="left"/>
      </w:pPr>
      <w:r>
        <w:rPr>
          <w:sz w:val="21"/>
        </w:rPr>
        <w:t>Cabinet d’Elisabeth Borne</w:t>
      </w:r>
    </w:p>
    <w:p w:rsidR="003B0775" w:rsidRDefault="00E53A8E">
      <w:pPr>
        <w:spacing w:after="124" w:line="265" w:lineRule="auto"/>
        <w:ind w:left="295" w:right="0"/>
        <w:jc w:val="left"/>
      </w:pPr>
      <w:r>
        <w:rPr>
          <w:sz w:val="21"/>
        </w:rPr>
        <w:t xml:space="preserve">Mél : </w:t>
      </w:r>
      <w:r>
        <w:rPr>
          <w:color w:val="0595D6"/>
          <w:sz w:val="21"/>
          <w:u w:val="single" w:color="0595D6"/>
        </w:rPr>
        <w:t>sec.presse.travail</w:t>
      </w:r>
      <w:r>
        <w:rPr>
          <w:color w:val="0595D6"/>
          <w:sz w:val="21"/>
        </w:rPr>
        <w:t>@</w:t>
      </w:r>
      <w:r>
        <w:rPr>
          <w:color w:val="0595D6"/>
          <w:sz w:val="21"/>
          <w:u w:val="single" w:color="0595D6"/>
        </w:rPr>
        <w:t>cab.travail.</w:t>
      </w:r>
      <w:r>
        <w:rPr>
          <w:color w:val="0595D6"/>
          <w:sz w:val="21"/>
        </w:rPr>
        <w:t>g</w:t>
      </w:r>
      <w:r>
        <w:rPr>
          <w:color w:val="0595D6"/>
          <w:sz w:val="21"/>
          <w:u w:val="single" w:color="0595D6"/>
        </w:rPr>
        <w:t>ouv.fr</w:t>
      </w:r>
    </w:p>
    <w:p w:rsidR="003B0775" w:rsidRDefault="00E53A8E">
      <w:pPr>
        <w:spacing w:after="73" w:line="259" w:lineRule="auto"/>
        <w:ind w:left="300" w:right="0" w:firstLine="0"/>
        <w:jc w:val="left"/>
      </w:pPr>
      <w:r>
        <w:rPr>
          <w:sz w:val="26"/>
        </w:rPr>
        <w:t xml:space="preserve"> </w:t>
      </w:r>
    </w:p>
    <w:p w:rsidR="003B0775" w:rsidRDefault="00E53A8E">
      <w:pPr>
        <w:spacing w:after="129" w:line="259" w:lineRule="auto"/>
        <w:ind w:left="295" w:right="0"/>
        <w:jc w:val="left"/>
      </w:pPr>
      <w:r>
        <w:rPr>
          <w:sz w:val="21"/>
        </w:rPr>
        <w:t xml:space="preserve">Cabinet de </w:t>
      </w:r>
      <w:r w:rsidR="00232A82">
        <w:rPr>
          <w:sz w:val="21"/>
        </w:rPr>
        <w:t>Joël Giraud</w:t>
      </w:r>
      <w:r>
        <w:rPr>
          <w:sz w:val="21"/>
        </w:rPr>
        <w:t xml:space="preserve"> :</w:t>
      </w:r>
    </w:p>
    <w:p w:rsidR="003B0775" w:rsidRDefault="00E53A8E">
      <w:pPr>
        <w:spacing w:after="124" w:line="265" w:lineRule="auto"/>
        <w:ind w:left="295" w:right="0"/>
        <w:jc w:val="left"/>
      </w:pPr>
      <w:r>
        <w:rPr>
          <w:sz w:val="21"/>
        </w:rPr>
        <w:t xml:space="preserve">Mél : </w:t>
      </w:r>
      <w:r>
        <w:rPr>
          <w:color w:val="0595D6"/>
          <w:sz w:val="21"/>
          <w:u w:val="single" w:color="0595D6"/>
        </w:rPr>
        <w:t>communication.</w:t>
      </w:r>
      <w:r>
        <w:rPr>
          <w:color w:val="0595D6"/>
          <w:sz w:val="21"/>
        </w:rPr>
        <w:t>jg@</w:t>
      </w:r>
      <w:r>
        <w:rPr>
          <w:color w:val="0595D6"/>
          <w:sz w:val="21"/>
          <w:u w:val="single" w:color="0595D6"/>
        </w:rPr>
        <w:t>cohesion-territoires.</w:t>
      </w:r>
      <w:r>
        <w:rPr>
          <w:color w:val="0595D6"/>
          <w:sz w:val="21"/>
        </w:rPr>
        <w:t>g</w:t>
      </w:r>
      <w:r>
        <w:rPr>
          <w:color w:val="0595D6"/>
          <w:sz w:val="21"/>
          <w:u w:val="single" w:color="0595D6"/>
        </w:rPr>
        <w:t>ouv.fr</w:t>
      </w:r>
    </w:p>
    <w:p w:rsidR="003B0775" w:rsidRDefault="00E53A8E">
      <w:pPr>
        <w:spacing w:after="73" w:line="259" w:lineRule="auto"/>
        <w:ind w:left="300" w:right="0" w:firstLine="0"/>
        <w:jc w:val="left"/>
      </w:pPr>
      <w:r>
        <w:rPr>
          <w:sz w:val="26"/>
        </w:rPr>
        <w:t xml:space="preserve"> </w:t>
      </w:r>
    </w:p>
    <w:p w:rsidR="003B0775" w:rsidRDefault="00E53A8E">
      <w:pPr>
        <w:spacing w:after="129" w:line="259" w:lineRule="auto"/>
        <w:ind w:left="295" w:right="0"/>
        <w:jc w:val="left"/>
      </w:pPr>
      <w:r>
        <w:rPr>
          <w:sz w:val="21"/>
        </w:rPr>
        <w:t xml:space="preserve">Cabinet d’Olivier </w:t>
      </w:r>
      <w:proofErr w:type="spellStart"/>
      <w:r>
        <w:rPr>
          <w:sz w:val="21"/>
        </w:rPr>
        <w:t>Véran</w:t>
      </w:r>
      <w:proofErr w:type="spellEnd"/>
    </w:p>
    <w:p w:rsidR="003B0775" w:rsidRDefault="00E53A8E">
      <w:pPr>
        <w:spacing w:after="124" w:line="265" w:lineRule="auto"/>
        <w:ind w:left="295" w:right="0"/>
        <w:jc w:val="left"/>
      </w:pPr>
      <w:r>
        <w:rPr>
          <w:sz w:val="21"/>
        </w:rPr>
        <w:t xml:space="preserve">Mél : </w:t>
      </w:r>
      <w:r>
        <w:rPr>
          <w:color w:val="0595D6"/>
          <w:sz w:val="21"/>
          <w:u w:val="single" w:color="0595D6"/>
        </w:rPr>
        <w:t>sec.presse.solidarites-sante</w:t>
      </w:r>
      <w:r>
        <w:rPr>
          <w:color w:val="0595D6"/>
          <w:sz w:val="21"/>
        </w:rPr>
        <w:t>@</w:t>
      </w:r>
      <w:r>
        <w:rPr>
          <w:color w:val="0595D6"/>
          <w:sz w:val="21"/>
          <w:u w:val="single" w:color="0595D6"/>
        </w:rPr>
        <w:t>sante.</w:t>
      </w:r>
      <w:r>
        <w:rPr>
          <w:color w:val="0595D6"/>
          <w:sz w:val="21"/>
        </w:rPr>
        <w:t>g</w:t>
      </w:r>
      <w:r>
        <w:rPr>
          <w:color w:val="0595D6"/>
          <w:sz w:val="21"/>
          <w:u w:val="single" w:color="0595D6"/>
        </w:rPr>
        <w:t>ouv.fr</w:t>
      </w:r>
    </w:p>
    <w:p w:rsidR="003B0775" w:rsidRDefault="00E53A8E">
      <w:pPr>
        <w:spacing w:after="73" w:line="259" w:lineRule="auto"/>
        <w:ind w:left="300" w:right="0" w:firstLine="0"/>
        <w:jc w:val="left"/>
      </w:pPr>
      <w:r>
        <w:rPr>
          <w:sz w:val="26"/>
        </w:rPr>
        <w:t xml:space="preserve"> </w:t>
      </w:r>
    </w:p>
    <w:p w:rsidR="003B0775" w:rsidRDefault="00E53A8E">
      <w:pPr>
        <w:spacing w:after="129" w:line="259" w:lineRule="auto"/>
        <w:ind w:left="295" w:right="0"/>
        <w:jc w:val="left"/>
      </w:pPr>
      <w:r>
        <w:rPr>
          <w:sz w:val="21"/>
        </w:rPr>
        <w:t xml:space="preserve">Cabinet de Brigitte </w:t>
      </w:r>
      <w:proofErr w:type="spellStart"/>
      <w:r>
        <w:rPr>
          <w:sz w:val="21"/>
        </w:rPr>
        <w:t>Klinkert</w:t>
      </w:r>
      <w:proofErr w:type="spellEnd"/>
    </w:p>
    <w:p w:rsidR="003B0775" w:rsidRDefault="00E53A8E">
      <w:pPr>
        <w:spacing w:after="619" w:line="265" w:lineRule="auto"/>
        <w:ind w:left="295" w:right="0"/>
        <w:jc w:val="left"/>
      </w:pPr>
      <w:r>
        <w:rPr>
          <w:sz w:val="21"/>
        </w:rPr>
        <w:t xml:space="preserve">Mél. : </w:t>
      </w:r>
      <w:hyperlink r:id="rId7">
        <w:r>
          <w:rPr>
            <w:color w:val="0595D6"/>
            <w:sz w:val="21"/>
            <w:u w:val="single" w:color="0595D6"/>
          </w:rPr>
          <w:t>sec.presse.insertion</w:t>
        </w:r>
      </w:hyperlink>
      <w:hyperlink r:id="rId8">
        <w:r>
          <w:rPr>
            <w:color w:val="0595D6"/>
            <w:sz w:val="21"/>
          </w:rPr>
          <w:t>@</w:t>
        </w:r>
      </w:hyperlink>
      <w:hyperlink r:id="rId9">
        <w:r>
          <w:rPr>
            <w:color w:val="0595D6"/>
            <w:sz w:val="21"/>
            <w:u w:val="single" w:color="0595D6"/>
          </w:rPr>
          <w:t>cab.travail.</w:t>
        </w:r>
      </w:hyperlink>
      <w:hyperlink r:id="rId10">
        <w:r>
          <w:rPr>
            <w:color w:val="0595D6"/>
            <w:sz w:val="21"/>
          </w:rPr>
          <w:t>g</w:t>
        </w:r>
      </w:hyperlink>
      <w:hyperlink r:id="rId11">
        <w:r>
          <w:rPr>
            <w:color w:val="0595D6"/>
            <w:sz w:val="21"/>
            <w:u w:val="single" w:color="0595D6"/>
          </w:rPr>
          <w:t>ouv.fr</w:t>
        </w:r>
      </w:hyperlink>
    </w:p>
    <w:p w:rsidR="003B0775" w:rsidRDefault="00E53A8E">
      <w:pPr>
        <w:spacing w:after="20" w:line="259" w:lineRule="auto"/>
        <w:ind w:left="652" w:right="0" w:firstLine="0"/>
        <w:jc w:val="left"/>
      </w:pPr>
      <w:r>
        <w:rPr>
          <w:color w:val="000000"/>
          <w:sz w:val="17"/>
        </w:rPr>
        <w:t>Conformément à la loi informatique et libertés du 06/01/1978 (art.27) et au Règlement Général sur la Protection des</w:t>
      </w:r>
    </w:p>
    <w:p w:rsidR="003B0775" w:rsidRDefault="00E53A8E">
      <w:pPr>
        <w:spacing w:after="255" w:line="285" w:lineRule="auto"/>
        <w:ind w:left="51" w:right="0" w:firstLine="0"/>
        <w:jc w:val="center"/>
      </w:pPr>
      <w:r>
        <w:rPr>
          <w:color w:val="000000"/>
          <w:sz w:val="17"/>
        </w:rPr>
        <w:t>Données (Règlement UE 2016/679) ou « RGPD », vous disposez d'un droit d'accès et de rectification des données vou</w:t>
      </w:r>
      <w:r>
        <w:rPr>
          <w:sz w:val="17"/>
        </w:rPr>
        <w:t xml:space="preserve">s </w:t>
      </w:r>
      <w:r>
        <w:rPr>
          <w:color w:val="000000"/>
          <w:sz w:val="17"/>
        </w:rPr>
        <w:t>concernant. Vous pouvez exercer vos droits en adressant un e-mail à l’adresse</w:t>
      </w:r>
      <w:r>
        <w:rPr>
          <w:sz w:val="17"/>
        </w:rPr>
        <w:t xml:space="preserve"> </w:t>
      </w:r>
      <w:r>
        <w:rPr>
          <w:color w:val="0595D6"/>
          <w:sz w:val="17"/>
          <w:u w:val="single" w:color="0595D6"/>
        </w:rPr>
        <w:t>DDC-RGPD-CAB</w:t>
      </w:r>
      <w:r>
        <w:rPr>
          <w:color w:val="0595D6"/>
          <w:sz w:val="17"/>
        </w:rPr>
        <w:t>@</w:t>
      </w:r>
      <w:r>
        <w:rPr>
          <w:color w:val="0595D6"/>
          <w:sz w:val="17"/>
          <w:u w:val="single" w:color="0595D6"/>
        </w:rPr>
        <w:t>ddc.social.</w:t>
      </w:r>
      <w:r>
        <w:rPr>
          <w:color w:val="0595D6"/>
          <w:sz w:val="17"/>
        </w:rPr>
        <w:t>g</w:t>
      </w:r>
      <w:r>
        <w:rPr>
          <w:color w:val="0595D6"/>
          <w:sz w:val="17"/>
          <w:u w:val="single" w:color="0595D6"/>
        </w:rPr>
        <w:t>ouv.fr</w:t>
      </w:r>
      <w:r>
        <w:rPr>
          <w:sz w:val="17"/>
        </w:rPr>
        <w:t>.</w:t>
      </w:r>
    </w:p>
    <w:p w:rsidR="003B0775" w:rsidRDefault="00E53A8E">
      <w:pPr>
        <w:spacing w:after="307" w:line="259" w:lineRule="auto"/>
        <w:ind w:left="0" w:right="0" w:firstLine="0"/>
        <w:jc w:val="left"/>
      </w:pPr>
      <w:r>
        <w:rPr>
          <w:rFonts w:ascii="Times New Roman" w:eastAsia="Times New Roman" w:hAnsi="Times New Roman" w:cs="Times New Roman"/>
          <w:color w:val="000000"/>
          <w:sz w:val="15"/>
        </w:rPr>
        <w:t xml:space="preserve"> </w:t>
      </w:r>
    </w:p>
    <w:p w:rsidR="003B0775" w:rsidRDefault="00E53A8E">
      <w:pPr>
        <w:spacing w:after="3" w:line="259" w:lineRule="auto"/>
        <w:ind w:left="1836" w:right="0"/>
        <w:jc w:val="left"/>
      </w:pPr>
      <w:r>
        <w:rPr>
          <w:color w:val="156BA5"/>
          <w:sz w:val="20"/>
        </w:rPr>
        <w:t xml:space="preserve">Si vous ne souhaitez plus recevoir nos communications, </w:t>
      </w:r>
      <w:r>
        <w:rPr>
          <w:color w:val="156BA5"/>
          <w:sz w:val="20"/>
          <w:u w:val="single" w:color="156BA5"/>
        </w:rPr>
        <w:t>suivez ce lien</w:t>
      </w:r>
    </w:p>
    <w:sectPr w:rsidR="003B0775">
      <w:headerReference w:type="even" r:id="rId12"/>
      <w:headerReference w:type="default" r:id="rId13"/>
      <w:footerReference w:type="even" r:id="rId14"/>
      <w:footerReference w:type="default" r:id="rId15"/>
      <w:headerReference w:type="first" r:id="rId16"/>
      <w:footerReference w:type="first" r:id="rId17"/>
      <w:pgSz w:w="11899" w:h="16838"/>
      <w:pgMar w:top="686" w:right="1362" w:bottom="732" w:left="1083" w:header="324"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848" w:rsidRDefault="00416848">
      <w:pPr>
        <w:spacing w:line="240" w:lineRule="auto"/>
      </w:pPr>
      <w:r>
        <w:separator/>
      </w:r>
    </w:p>
  </w:endnote>
  <w:endnote w:type="continuationSeparator" w:id="0">
    <w:p w:rsidR="00416848" w:rsidRDefault="00416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775" w:rsidRDefault="00E53A8E">
    <w:pPr>
      <w:spacing w:line="259" w:lineRule="auto"/>
      <w:ind w:left="0" w:right="-833" w:firstLine="0"/>
      <w:jc w:val="right"/>
    </w:pPr>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w:t>
    </w:r>
    <w:fldSimple w:instr=" NUMPAGES   \* MERGEFORMAT ">
      <w:r w:rsidR="00FE3865" w:rsidRPr="00FE3865">
        <w:rPr>
          <w:noProof/>
          <w:color w:val="000000"/>
          <w:sz w:val="16"/>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775" w:rsidRDefault="00E53A8E">
    <w:pPr>
      <w:spacing w:line="259" w:lineRule="auto"/>
      <w:ind w:left="0" w:right="-833" w:firstLine="0"/>
      <w:jc w:val="right"/>
    </w:pPr>
    <w:r>
      <w:fldChar w:fldCharType="begin"/>
    </w:r>
    <w:r>
      <w:instrText xml:space="preserve"> PAGE   \* MERGEFORMAT </w:instrText>
    </w:r>
    <w:r>
      <w:fldChar w:fldCharType="separate"/>
    </w:r>
    <w:r w:rsidR="00FE3865" w:rsidRPr="00FE3865">
      <w:rPr>
        <w:noProof/>
        <w:color w:val="000000"/>
        <w:sz w:val="16"/>
      </w:rPr>
      <w:t>3</w:t>
    </w:r>
    <w:r>
      <w:rPr>
        <w:color w:val="000000"/>
        <w:sz w:val="16"/>
      </w:rPr>
      <w:fldChar w:fldCharType="end"/>
    </w:r>
    <w:r>
      <w:rPr>
        <w:color w:val="000000"/>
        <w:sz w:val="16"/>
      </w:rPr>
      <w:t>/</w:t>
    </w:r>
    <w:fldSimple w:instr=" NUMPAGES   \* MERGEFORMAT ">
      <w:r w:rsidR="00FE3865" w:rsidRPr="00FE3865">
        <w:rPr>
          <w:noProof/>
          <w:color w:val="000000"/>
          <w:sz w:val="16"/>
        </w:rPr>
        <w:t>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775" w:rsidRDefault="00E53A8E">
    <w:pPr>
      <w:spacing w:line="259" w:lineRule="auto"/>
      <w:ind w:left="0" w:right="-833" w:firstLine="0"/>
      <w:jc w:val="right"/>
    </w:pPr>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w:t>
    </w:r>
    <w:fldSimple w:instr=" NUMPAGES   \* MERGEFORMAT ">
      <w:r w:rsidR="00FE3865" w:rsidRPr="00FE3865">
        <w:rPr>
          <w:noProof/>
          <w:color w:val="000000"/>
          <w:sz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848" w:rsidRDefault="00416848">
      <w:pPr>
        <w:spacing w:line="240" w:lineRule="auto"/>
      </w:pPr>
      <w:r>
        <w:separator/>
      </w:r>
    </w:p>
  </w:footnote>
  <w:footnote w:type="continuationSeparator" w:id="0">
    <w:p w:rsidR="00416848" w:rsidRDefault="004168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775" w:rsidRDefault="00E53A8E">
    <w:pPr>
      <w:spacing w:line="259" w:lineRule="auto"/>
      <w:ind w:left="-554" w:right="0" w:firstLine="0"/>
      <w:jc w:val="left"/>
    </w:pPr>
    <w:r>
      <w:rPr>
        <w:color w:val="000000"/>
        <w:sz w:val="16"/>
      </w:rPr>
      <w:t>07/03/2022 10:11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775" w:rsidRDefault="00E53A8E">
    <w:pPr>
      <w:spacing w:line="259" w:lineRule="auto"/>
      <w:ind w:left="-554" w:right="0" w:firstLine="0"/>
      <w:jc w:val="left"/>
    </w:pPr>
    <w:r>
      <w:rPr>
        <w:color w:val="000000"/>
        <w:sz w:val="16"/>
      </w:rPr>
      <w:t>07/03/2022 10:11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775" w:rsidRDefault="00E53A8E">
    <w:pPr>
      <w:spacing w:line="259" w:lineRule="auto"/>
      <w:ind w:left="-554" w:right="0" w:firstLine="0"/>
      <w:jc w:val="left"/>
    </w:pPr>
    <w:r>
      <w:rPr>
        <w:color w:val="000000"/>
        <w:sz w:val="16"/>
      </w:rPr>
      <w:t>07/03/2022 10:11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75"/>
    <w:rsid w:val="00086C12"/>
    <w:rsid w:val="00111A8F"/>
    <w:rsid w:val="001159F2"/>
    <w:rsid w:val="00232A82"/>
    <w:rsid w:val="003B0775"/>
    <w:rsid w:val="00416848"/>
    <w:rsid w:val="004502AC"/>
    <w:rsid w:val="00534143"/>
    <w:rsid w:val="00556AD6"/>
    <w:rsid w:val="00A66677"/>
    <w:rsid w:val="00AA1C34"/>
    <w:rsid w:val="00E53A8E"/>
    <w:rsid w:val="00FE3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5B35"/>
  <w15:docId w15:val="{4968066A-70F1-4D4C-A9D0-4D1B8926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62" w:lineRule="auto"/>
      <w:ind w:left="310" w:right="3" w:hanging="10"/>
      <w:jc w:val="both"/>
    </w:pPr>
    <w:rPr>
      <w:rFonts w:ascii="Arial" w:eastAsia="Arial" w:hAnsi="Arial" w:cs="Arial"/>
      <w:color w:val="393939"/>
      <w:sz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resse.insertion@cab.travail.gouv.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c.presse.insertion@cab.travail.gouv.f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ec.presse.insertion@cab.travail.gouv.f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ec.presse.insertion@cab.travail.gouv.f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c.presse.insertion@cab.travail.gouv.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768</Words>
  <Characters>4227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REMORY, Alice (CAB/INSERTION)</dc:creator>
  <cp:keywords/>
  <cp:lastModifiedBy>PINATEL-IGOA, Florence (DICOM/INFLUENCE ET DIGITAL)</cp:lastModifiedBy>
  <cp:revision>11</cp:revision>
  <cp:lastPrinted>2022-03-07T12:06:00Z</cp:lastPrinted>
  <dcterms:created xsi:type="dcterms:W3CDTF">2022-03-07T10:49:00Z</dcterms:created>
  <dcterms:modified xsi:type="dcterms:W3CDTF">2022-03-07T12:12:00Z</dcterms:modified>
</cp:coreProperties>
</file>