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51C" w:rsidRDefault="00FA751C" w:rsidP="00FA751C">
      <w:bookmarkStart w:id="0" w:name="_GoBack"/>
      <w:bookmarkEnd w:id="0"/>
    </w:p>
    <w:p w:rsidR="00FA751C" w:rsidRDefault="00FA751C" w:rsidP="00FA751C"/>
    <w:tbl>
      <w:tblPr>
        <w:tblW w:w="5000" w:type="pct"/>
        <w:shd w:val="clear" w:color="auto" w:fill="FFFFFF"/>
        <w:tblCellMar>
          <w:left w:w="0" w:type="dxa"/>
          <w:right w:w="0" w:type="dxa"/>
        </w:tblCellMar>
        <w:tblLook w:val="04A0" w:firstRow="1" w:lastRow="0" w:firstColumn="1" w:lastColumn="0" w:noHBand="0" w:noVBand="1"/>
      </w:tblPr>
      <w:tblGrid>
        <w:gridCol w:w="9072"/>
      </w:tblGrid>
      <w:tr w:rsidR="00FA751C" w:rsidTr="00FA751C">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FA751C">
              <w:trPr>
                <w:jc w:val="center"/>
              </w:trPr>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FA751C">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FA751C">
                          <w:tc>
                            <w:tcPr>
                              <w:tcW w:w="150" w:type="dxa"/>
                              <w:vAlign w:val="center"/>
                              <w:hideMark/>
                            </w:tcPr>
                            <w:p w:rsidR="00FA751C" w:rsidRDefault="00FA751C"/>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FA751C">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FA751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FA751C">
                                            <w:tc>
                                              <w:tcPr>
                                                <w:tcW w:w="0" w:type="auto"/>
                                                <w:tcMar>
                                                  <w:top w:w="300" w:type="dxa"/>
                                                  <w:left w:w="300" w:type="dxa"/>
                                                  <w:bottom w:w="75" w:type="dxa"/>
                                                  <w:right w:w="300" w:type="dxa"/>
                                                </w:tcMar>
                                                <w:vAlign w:val="center"/>
                                                <w:hideMark/>
                                              </w:tcPr>
                                              <w:p w:rsidR="00FA751C" w:rsidRDefault="00FA751C">
                                                <w:pPr>
                                                  <w:rPr>
                                                    <w:rFonts w:eastAsia="Times New Roman"/>
                                                    <w:sz w:val="20"/>
                                                    <w:szCs w:val="20"/>
                                                  </w:rPr>
                                                </w:pPr>
                                              </w:p>
                                            </w:tc>
                                          </w:tr>
                                        </w:tbl>
                                        <w:p w:rsidR="00FA751C" w:rsidRDefault="00FA751C">
                                          <w:pPr>
                                            <w:rPr>
                                              <w:rFonts w:eastAsia="Times New Roman"/>
                                              <w:sz w:val="20"/>
                                              <w:szCs w:val="20"/>
                                            </w:rPr>
                                          </w:pPr>
                                        </w:p>
                                      </w:tc>
                                    </w:tr>
                                  </w:tbl>
                                  <w:p w:rsidR="00FA751C" w:rsidRDefault="00FA751C">
                                    <w:pPr>
                                      <w:jc w:val="center"/>
                                      <w:rPr>
                                        <w:rFonts w:eastAsia="Times New Roman"/>
                                        <w:sz w:val="20"/>
                                        <w:szCs w:val="20"/>
                                      </w:rPr>
                                    </w:pPr>
                                  </w:p>
                                </w:tc>
                              </w:tr>
                            </w:tbl>
                            <w:p w:rsidR="00FA751C" w:rsidRDefault="00FA751C">
                              <w:pPr>
                                <w:jc w:val="center"/>
                                <w:rPr>
                                  <w:rFonts w:eastAsia="Times New Roman"/>
                                  <w:sz w:val="20"/>
                                  <w:szCs w:val="20"/>
                                </w:rPr>
                              </w:pPr>
                            </w:p>
                          </w:tc>
                          <w:tc>
                            <w:tcPr>
                              <w:tcW w:w="150" w:type="dxa"/>
                              <w:vAlign w:val="center"/>
                              <w:hideMark/>
                            </w:tcPr>
                            <w:p w:rsidR="00FA751C" w:rsidRDefault="00FA751C">
                              <w:pPr>
                                <w:rPr>
                                  <w:rFonts w:eastAsia="Times New Roman"/>
                                  <w:sz w:val="20"/>
                                  <w:szCs w:val="20"/>
                                </w:rPr>
                              </w:pPr>
                            </w:p>
                          </w:tc>
                        </w:tr>
                      </w:tbl>
                      <w:p w:rsidR="00FA751C" w:rsidRDefault="00FA751C">
                        <w:pPr>
                          <w:rPr>
                            <w:rFonts w:eastAsia="Times New Roman"/>
                            <w:sz w:val="20"/>
                            <w:szCs w:val="20"/>
                          </w:rPr>
                        </w:pPr>
                      </w:p>
                    </w:tc>
                  </w:tr>
                  <w:tr w:rsidR="00FA751C">
                    <w:tc>
                      <w:tcPr>
                        <w:tcW w:w="0" w:type="auto"/>
                        <w:shd w:val="clear" w:color="auto" w:fill="auto"/>
                        <w:vAlign w:val="center"/>
                      </w:tcPr>
                      <w:tbl>
                        <w:tblPr>
                          <w:tblW w:w="5000" w:type="pct"/>
                          <w:tblCellMar>
                            <w:left w:w="0" w:type="dxa"/>
                            <w:right w:w="0" w:type="dxa"/>
                          </w:tblCellMar>
                          <w:tblLook w:val="04A0" w:firstRow="1" w:lastRow="0" w:firstColumn="1" w:lastColumn="0" w:noHBand="0" w:noVBand="1"/>
                        </w:tblPr>
                        <w:tblGrid>
                          <w:gridCol w:w="9072"/>
                        </w:tblGrid>
                        <w:tr w:rsidR="00FA751C">
                          <w:trPr>
                            <w:trHeight w:val="150"/>
                          </w:trPr>
                          <w:tc>
                            <w:tcPr>
                              <w:tcW w:w="9750" w:type="dxa"/>
                              <w:shd w:val="clear" w:color="auto" w:fill="FFFFFF"/>
                              <w:tcMar>
                                <w:top w:w="0" w:type="dxa"/>
                                <w:left w:w="150" w:type="dxa"/>
                                <w:bottom w:w="0" w:type="dxa"/>
                                <w:right w:w="150" w:type="dxa"/>
                              </w:tcMar>
                              <w:vAlign w:val="center"/>
                              <w:hideMark/>
                            </w:tcPr>
                            <w:p w:rsidR="00FA751C" w:rsidRDefault="00FA751C">
                              <w:pPr>
                                <w:spacing w:line="150" w:lineRule="exact"/>
                                <w:rPr>
                                  <w:sz w:val="15"/>
                                  <w:szCs w:val="15"/>
                                </w:rPr>
                              </w:pPr>
                              <w:r>
                                <w:rPr>
                                  <w:sz w:val="15"/>
                                  <w:szCs w:val="15"/>
                                </w:rPr>
                                <w:t xml:space="preserve">  </w:t>
                              </w:r>
                            </w:p>
                          </w:tc>
                        </w:tr>
                      </w:tbl>
                      <w:p w:rsidR="00FA751C" w:rsidRDefault="00FA751C">
                        <w:pPr>
                          <w:rPr>
                            <w:vanish/>
                          </w:rPr>
                        </w:pPr>
                      </w:p>
                      <w:tbl>
                        <w:tblPr>
                          <w:tblW w:w="0" w:type="auto"/>
                          <w:tblCellMar>
                            <w:left w:w="0" w:type="dxa"/>
                            <w:right w:w="0" w:type="dxa"/>
                          </w:tblCellMar>
                          <w:tblLook w:val="04A0" w:firstRow="1" w:lastRow="0" w:firstColumn="1" w:lastColumn="0" w:noHBand="0" w:noVBand="1"/>
                        </w:tblPr>
                        <w:tblGrid>
                          <w:gridCol w:w="131"/>
                          <w:gridCol w:w="8810"/>
                          <w:gridCol w:w="131"/>
                        </w:tblGrid>
                        <w:tr w:rsidR="00FA751C">
                          <w:trPr>
                            <w:hidden/>
                          </w:trPr>
                          <w:tc>
                            <w:tcPr>
                              <w:tcW w:w="150" w:type="dxa"/>
                              <w:shd w:val="clear" w:color="auto" w:fill="FFFFFF"/>
                              <w:vAlign w:val="center"/>
                              <w:hideMark/>
                            </w:tcPr>
                            <w:p w:rsidR="00FA751C" w:rsidRDefault="00FA751C">
                              <w:pPr>
                                <w:rPr>
                                  <w:vanish/>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FA751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FA751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0"/>
                                          </w:tblGrid>
                                          <w:tr w:rsidR="00FA751C">
                                            <w:tc>
                                              <w:tcPr>
                                                <w:tcW w:w="0" w:type="auto"/>
                                                <w:vAlign w:val="center"/>
                                              </w:tcPr>
                                              <w:tbl>
                                                <w:tblPr>
                                                  <w:tblW w:w="5000" w:type="pct"/>
                                                  <w:jc w:val="center"/>
                                                  <w:tblCellMar>
                                                    <w:left w:w="0" w:type="dxa"/>
                                                    <w:right w:w="0" w:type="dxa"/>
                                                  </w:tblCellMar>
                                                  <w:tblLook w:val="04A0" w:firstRow="1" w:lastRow="0" w:firstColumn="1" w:lastColumn="0" w:noHBand="0" w:noVBand="1"/>
                                                </w:tblPr>
                                                <w:tblGrid>
                                                  <w:gridCol w:w="8810"/>
                                                </w:tblGrid>
                                                <w:tr w:rsidR="00FA751C">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2700"/>
                                                      </w:tblGrid>
                                                      <w:tr w:rsidR="00FA751C">
                                                        <w:tc>
                                                          <w:tcPr>
                                                            <w:tcW w:w="0" w:type="auto"/>
                                                            <w:vAlign w:val="center"/>
                                                            <w:hideMark/>
                                                          </w:tcPr>
                                                          <w:p w:rsidR="00FA751C" w:rsidRDefault="00FA751C">
                                                            <w:pPr>
                                                              <w:spacing w:line="0" w:lineRule="atLeast"/>
                                                              <w:rPr>
                                                                <w:sz w:val="2"/>
                                                                <w:szCs w:val="2"/>
                                                              </w:rPr>
                                                            </w:pPr>
                                                            <w:r>
                                                              <w:rPr>
                                                                <w:noProof/>
                                                                <w:sz w:val="2"/>
                                                                <w:szCs w:val="2"/>
                                                              </w:rPr>
                                                              <w:drawing>
                                                                <wp:inline distT="0" distB="0" distL="0" distR="0">
                                                                  <wp:extent cx="1714500" cy="1428750"/>
                                                                  <wp:effectExtent l="0" t="0" r="0" b="0"/>
                                                                  <wp:docPr id="2" name="Image 2" descr="http://img.sarbacane.com/5b23cd31b85b536066d9291a/templates/GOIdz4keTFWqcXgdIN_Tdg/e6593d2900e2b4a056772e1e67f74bc42bad4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arbacane.com/5b23cd31b85b536066d9291a/templates/GOIdz4keTFWqcXgdIN_Tdg/e6593d2900e2b4a056772e1e67f74bc42bad4d1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FA751C" w:rsidRDefault="00FA751C">
                                                      <w:pPr>
                                                        <w:rPr>
                                                          <w:rFonts w:eastAsia="Times New Roman"/>
                                                          <w:sz w:val="20"/>
                                                          <w:szCs w:val="20"/>
                                                        </w:rPr>
                                                      </w:pPr>
                                                    </w:p>
                                                  </w:tc>
                                                </w:tr>
                                              </w:tbl>
                                              <w:p w:rsidR="00FA751C" w:rsidRDefault="00FA751C">
                                                <w:pPr>
                                                  <w:jc w:val="center"/>
                                                  <w:rPr>
                                                    <w:vanish/>
                                                  </w:rPr>
                                                </w:pPr>
                                              </w:p>
                                              <w:tbl>
                                                <w:tblPr>
                                                  <w:tblW w:w="0" w:type="auto"/>
                                                  <w:jc w:val="center"/>
                                                  <w:tblCellMar>
                                                    <w:left w:w="0" w:type="dxa"/>
                                                    <w:right w:w="0" w:type="dxa"/>
                                                  </w:tblCellMar>
                                                  <w:tblLook w:val="04A0" w:firstRow="1" w:lastRow="0" w:firstColumn="1" w:lastColumn="0" w:noHBand="0" w:noVBand="1"/>
                                                </w:tblPr>
                                                <w:tblGrid>
                                                  <w:gridCol w:w="75"/>
                                                </w:tblGrid>
                                                <w:tr w:rsidR="00FA751C">
                                                  <w:trPr>
                                                    <w:trHeight w:val="300"/>
                                                    <w:jc w:val="center"/>
                                                  </w:trPr>
                                                  <w:tc>
                                                    <w:tcPr>
                                                      <w:tcW w:w="0" w:type="auto"/>
                                                      <w:vAlign w:val="center"/>
                                                      <w:hideMark/>
                                                    </w:tcPr>
                                                    <w:p w:rsidR="00FA751C" w:rsidRDefault="00FA751C">
                                                      <w:pPr>
                                                        <w:spacing w:line="300" w:lineRule="exact"/>
                                                        <w:rPr>
                                                          <w:sz w:val="30"/>
                                                          <w:szCs w:val="30"/>
                                                        </w:rPr>
                                                      </w:pPr>
                                                      <w:r>
                                                        <w:rPr>
                                                          <w:sz w:val="30"/>
                                                          <w:szCs w:val="30"/>
                                                        </w:rPr>
                                                        <w:t xml:space="preserve">  </w:t>
                                                      </w:r>
                                                    </w:p>
                                                  </w:tc>
                                                </w:tr>
                                              </w:tbl>
                                              <w:p w:rsidR="00FA751C" w:rsidRDefault="00FA751C">
                                                <w:pPr>
                                                  <w:jc w:val="center"/>
                                                  <w:rPr>
                                                    <w:sz w:val="20"/>
                                                    <w:szCs w:val="20"/>
                                                  </w:rPr>
                                                </w:pPr>
                                              </w:p>
                                            </w:tc>
                                          </w:tr>
                                        </w:tbl>
                                        <w:p w:rsidR="00FA751C" w:rsidRDefault="00FA751C">
                                          <w:pPr>
                                            <w:rPr>
                                              <w:rFonts w:eastAsia="Times New Roman"/>
                                              <w:sz w:val="20"/>
                                              <w:szCs w:val="20"/>
                                            </w:rPr>
                                          </w:pPr>
                                        </w:p>
                                      </w:tc>
                                    </w:tr>
                                  </w:tbl>
                                  <w:p w:rsidR="00FA751C" w:rsidRDefault="00FA751C">
                                    <w:pPr>
                                      <w:jc w:val="center"/>
                                      <w:rPr>
                                        <w:rFonts w:eastAsia="Times New Roman"/>
                                        <w:sz w:val="20"/>
                                        <w:szCs w:val="20"/>
                                      </w:rPr>
                                    </w:pPr>
                                  </w:p>
                                </w:tc>
                              </w:tr>
                            </w:tbl>
                            <w:p w:rsidR="00FA751C" w:rsidRDefault="00FA751C">
                              <w:pPr>
                                <w:jc w:val="center"/>
                                <w:rPr>
                                  <w:rFonts w:eastAsia="Times New Roman"/>
                                  <w:sz w:val="20"/>
                                  <w:szCs w:val="20"/>
                                </w:rPr>
                              </w:pPr>
                            </w:p>
                          </w:tc>
                          <w:tc>
                            <w:tcPr>
                              <w:tcW w:w="150" w:type="dxa"/>
                              <w:shd w:val="clear" w:color="auto" w:fill="FFFFFF"/>
                              <w:vAlign w:val="center"/>
                              <w:hideMark/>
                            </w:tcPr>
                            <w:p w:rsidR="00FA751C" w:rsidRDefault="00FA751C">
                              <w:pPr>
                                <w:rPr>
                                  <w:rFonts w:eastAsia="Times New Roman"/>
                                  <w:sz w:val="20"/>
                                  <w:szCs w:val="20"/>
                                </w:rPr>
                              </w:pPr>
                            </w:p>
                          </w:tc>
                        </w:tr>
                      </w:tbl>
                      <w:p w:rsidR="00FA751C" w:rsidRDefault="00FA751C">
                        <w:pPr>
                          <w:rPr>
                            <w:sz w:val="20"/>
                            <w:szCs w:val="20"/>
                          </w:rPr>
                        </w:pPr>
                      </w:p>
                    </w:tc>
                  </w:tr>
                </w:tbl>
                <w:p w:rsidR="00FA751C" w:rsidRDefault="00FA751C"/>
                <w:tbl>
                  <w:tblPr>
                    <w:tblW w:w="5000" w:type="pct"/>
                    <w:tblCellMar>
                      <w:left w:w="0" w:type="dxa"/>
                      <w:right w:w="0" w:type="dxa"/>
                    </w:tblCellMar>
                    <w:tblLook w:val="04A0" w:firstRow="1" w:lastRow="0" w:firstColumn="1" w:lastColumn="0" w:noHBand="0" w:noVBand="1"/>
                  </w:tblPr>
                  <w:tblGrid>
                    <w:gridCol w:w="9072"/>
                  </w:tblGrid>
                  <w:tr w:rsidR="00FA751C">
                    <w:tc>
                      <w:tcPr>
                        <w:tcW w:w="0" w:type="auto"/>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FA751C">
                          <w:tc>
                            <w:tcPr>
                              <w:tcW w:w="150" w:type="dxa"/>
                              <w:shd w:val="clear" w:color="auto" w:fill="FFFFFF"/>
                              <w:vAlign w:val="center"/>
                              <w:hideMark/>
                            </w:tcPr>
                            <w:p w:rsidR="00FA751C" w:rsidRDefault="00FA751C"/>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FA751C">
                                <w:trPr>
                                  <w:jc w:val="center"/>
                                </w:trPr>
                                <w:tc>
                                  <w:tcPr>
                                    <w:tcW w:w="0" w:type="auto"/>
                                    <w:shd w:val="clear" w:color="auto" w:fill="FFFFFF"/>
                                    <w:vAlign w:val="center"/>
                                  </w:tcPr>
                                  <w:p w:rsidR="00FA751C" w:rsidRDefault="00FA751C">
                                    <w:pPr>
                                      <w:rPr>
                                        <w:rFonts w:ascii="Calibri" w:hAnsi="Calibri" w:cs="Calibri"/>
                                        <w:color w:val="1F497D"/>
                                        <w:sz w:val="22"/>
                                        <w:szCs w:val="22"/>
                                      </w:rPr>
                                    </w:pPr>
                                  </w:p>
                                  <w:tbl>
                                    <w:tblPr>
                                      <w:tblW w:w="5000" w:type="pct"/>
                                      <w:jc w:val="center"/>
                                      <w:tblCellMar>
                                        <w:left w:w="0" w:type="dxa"/>
                                        <w:right w:w="0" w:type="dxa"/>
                                      </w:tblCellMar>
                                      <w:tblLook w:val="04A0" w:firstRow="1" w:lastRow="0" w:firstColumn="1" w:lastColumn="0" w:noHBand="0" w:noVBand="1"/>
                                    </w:tblPr>
                                    <w:tblGrid>
                                      <w:gridCol w:w="8809"/>
                                    </w:tblGrid>
                                    <w:tr w:rsidR="00FA751C">
                                      <w:trPr>
                                        <w:jc w:val="center"/>
                                      </w:trPr>
                                      <w:tc>
                                        <w:tcPr>
                                          <w:tcW w:w="5000" w:type="pct"/>
                                        </w:tcPr>
                                        <w:p w:rsidR="00FA751C" w:rsidRDefault="00FA751C">
                                          <w:pPr>
                                            <w:rPr>
                                              <w:rFonts w:ascii="Calibri" w:hAnsi="Calibri" w:cs="Calibri"/>
                                              <w:color w:val="1F497D"/>
                                              <w:sz w:val="22"/>
                                              <w:szCs w:val="22"/>
                                            </w:rPr>
                                          </w:pPr>
                                        </w:p>
                                        <w:tbl>
                                          <w:tblPr>
                                            <w:tblW w:w="5000" w:type="pct"/>
                                            <w:tblCellMar>
                                              <w:left w:w="0" w:type="dxa"/>
                                              <w:right w:w="0" w:type="dxa"/>
                                            </w:tblCellMar>
                                            <w:tblLook w:val="04A0" w:firstRow="1" w:lastRow="0" w:firstColumn="1" w:lastColumn="0" w:noHBand="0" w:noVBand="1"/>
                                          </w:tblPr>
                                          <w:tblGrid>
                                            <w:gridCol w:w="8809"/>
                                          </w:tblGrid>
                                          <w:tr w:rsidR="00FA751C">
                                            <w:tc>
                                              <w:tcPr>
                                                <w:tcW w:w="0" w:type="auto"/>
                                                <w:tcMar>
                                                  <w:top w:w="300" w:type="dxa"/>
                                                  <w:left w:w="300" w:type="dxa"/>
                                                  <w:bottom w:w="300" w:type="dxa"/>
                                                  <w:right w:w="300" w:type="dxa"/>
                                                </w:tcMar>
                                                <w:vAlign w:val="center"/>
                                              </w:tcPr>
                                              <w:p w:rsidR="00FA751C" w:rsidRDefault="00FA751C">
                                                <w:pPr>
                                                  <w:jc w:val="center"/>
                                                  <w:rPr>
                                                    <w:rFonts w:ascii="Calibri" w:hAnsi="Calibri" w:cs="Calibri"/>
                                                    <w:color w:val="1F497D"/>
                                                    <w:sz w:val="22"/>
                                                    <w:szCs w:val="22"/>
                                                  </w:rPr>
                                                </w:pPr>
                                                <w:r>
                                                  <w:rPr>
                                                    <w:noProof/>
                                                  </w:rPr>
                                                  <w:drawing>
                                                    <wp:inline distT="0" distB="0" distL="0" distR="0">
                                                      <wp:extent cx="1219200" cy="1171575"/>
                                                      <wp:effectExtent l="0" t="0" r="0" b="9525"/>
                                                      <wp:docPr id="1" name="Image 1" descr="cid:image001.png@01D822A9.8A6D0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png@01D822A9.8A6D0E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9200" cy="1171575"/>
                                                              </a:xfrm>
                                                              <a:prstGeom prst="rect">
                                                                <a:avLst/>
                                                              </a:prstGeom>
                                                              <a:noFill/>
                                                              <a:ln>
                                                                <a:noFill/>
                                                              </a:ln>
                                                            </pic:spPr>
                                                          </pic:pic>
                                                        </a:graphicData>
                                                      </a:graphic>
                                                    </wp:inline>
                                                  </w:drawing>
                                                </w:r>
                                              </w:p>
                                              <w:p w:rsidR="00FA751C" w:rsidRDefault="00FA751C">
                                                <w:pPr>
                                                  <w:jc w:val="center"/>
                                                  <w:rPr>
                                                    <w:rFonts w:ascii="Calibri" w:hAnsi="Calibri" w:cs="Calibri"/>
                                                    <w:color w:val="1F497D"/>
                                                    <w:sz w:val="22"/>
                                                    <w:szCs w:val="22"/>
                                                  </w:rPr>
                                                </w:pPr>
                                              </w:p>
                                              <w:p w:rsidR="00FA751C" w:rsidRDefault="00FA751C">
                                                <w:pPr>
                                                  <w:jc w:val="center"/>
                                                  <w:rPr>
                                                    <w:rFonts w:ascii="Calibri" w:hAnsi="Calibri" w:cs="Calibri"/>
                                                    <w:color w:val="1F497D"/>
                                                    <w:sz w:val="22"/>
                                                    <w:szCs w:val="22"/>
                                                  </w:rPr>
                                                </w:pPr>
                                              </w:p>
                                              <w:tbl>
                                                <w:tblPr>
                                                  <w:tblpPr w:vertAnchor="text"/>
                                                  <w:tblW w:w="5000" w:type="pct"/>
                                                  <w:tblCellMar>
                                                    <w:left w:w="0" w:type="dxa"/>
                                                    <w:right w:w="0" w:type="dxa"/>
                                                  </w:tblCellMar>
                                                  <w:tblLook w:val="04A0" w:firstRow="1" w:lastRow="0" w:firstColumn="1" w:lastColumn="0" w:noHBand="0" w:noVBand="1"/>
                                                </w:tblPr>
                                                <w:tblGrid>
                                                  <w:gridCol w:w="8209"/>
                                                </w:tblGrid>
                                                <w:tr w:rsidR="00FA751C">
                                                  <w:tc>
                                                    <w:tcPr>
                                                      <w:tcW w:w="0" w:type="auto"/>
                                                      <w:vAlign w:val="center"/>
                                                      <w:hideMark/>
                                                    </w:tcPr>
                                                    <w:p w:rsidR="00FA751C" w:rsidRDefault="00FA751C">
                                                      <w:pPr>
                                                        <w:pStyle w:val="NormalWeb"/>
                                                        <w:spacing w:before="0" w:beforeAutospacing="0" w:after="0" w:afterAutospacing="0" w:line="390" w:lineRule="exact"/>
                                                        <w:jc w:val="center"/>
                                                        <w:rPr>
                                                          <w:rFonts w:ascii="Arial" w:hAnsi="Arial" w:cs="Arial"/>
                                                          <w:b/>
                                                          <w:bCs/>
                                                          <w:color w:val="000000"/>
                                                        </w:rPr>
                                                      </w:pPr>
                                                      <w:r>
                                                        <w:rPr>
                                                          <w:rStyle w:val="lev"/>
                                                          <w:rFonts w:ascii="Arial" w:hAnsi="Arial" w:cs="Arial"/>
                                                          <w:color w:val="3B3838"/>
                                                        </w:rPr>
                                                        <w:t>COMMUNIQUE DE PRESSE</w:t>
                                                      </w:r>
                                                    </w:p>
                                                  </w:tc>
                                                </w:tr>
                                              </w:tbl>
                                              <w:tbl>
                                                <w:tblPr>
                                                  <w:tblW w:w="0" w:type="auto"/>
                                                  <w:jc w:val="center"/>
                                                  <w:tblCellMar>
                                                    <w:left w:w="0" w:type="dxa"/>
                                                    <w:right w:w="0" w:type="dxa"/>
                                                  </w:tblCellMar>
                                                  <w:tblLook w:val="04A0" w:firstRow="1" w:lastRow="0" w:firstColumn="1" w:lastColumn="0" w:noHBand="0" w:noVBand="1"/>
                                                </w:tblPr>
                                                <w:tblGrid>
                                                  <w:gridCol w:w="75"/>
                                                </w:tblGrid>
                                                <w:tr w:rsidR="00FA751C">
                                                  <w:trPr>
                                                    <w:trHeight w:val="300"/>
                                                    <w:jc w:val="center"/>
                                                  </w:trPr>
                                                  <w:tc>
                                                    <w:tcPr>
                                                      <w:tcW w:w="0" w:type="auto"/>
                                                      <w:vAlign w:val="center"/>
                                                      <w:hideMark/>
                                                    </w:tcPr>
                                                    <w:p w:rsidR="00FA751C" w:rsidRDefault="00FA751C">
                                                      <w:pPr>
                                                        <w:spacing w:line="300" w:lineRule="exact"/>
                                                        <w:rPr>
                                                          <w:sz w:val="30"/>
                                                          <w:szCs w:val="30"/>
                                                        </w:rPr>
                                                      </w:pPr>
                                                      <w:r>
                                                        <w:rPr>
                                                          <w:sz w:val="30"/>
                                                          <w:szCs w:val="30"/>
                                                        </w:rPr>
                                                        <w:t xml:space="preserve">  </w:t>
                                                      </w:r>
                                                    </w:p>
                                                  </w:tc>
                                                </w:tr>
                                              </w:tbl>
                                              <w:p w:rsidR="00FA751C" w:rsidRDefault="00FA751C">
                                                <w:pPr>
                                                  <w:jc w:val="center"/>
                                                </w:pPr>
                                              </w:p>
                                            </w:tc>
                                          </w:tr>
                                        </w:tbl>
                                        <w:p w:rsidR="00FA751C" w:rsidRDefault="00FA751C"/>
                                      </w:tc>
                                    </w:tr>
                                  </w:tbl>
                                  <w:p w:rsidR="00FA751C" w:rsidRDefault="00FA751C">
                                    <w:pPr>
                                      <w:jc w:val="center"/>
                                    </w:pPr>
                                  </w:p>
                                </w:tc>
                              </w:tr>
                            </w:tbl>
                            <w:p w:rsidR="00FA751C" w:rsidRDefault="00FA751C">
                              <w:pPr>
                                <w:jc w:val="center"/>
                                <w:rPr>
                                  <w:rFonts w:eastAsia="Times New Roman"/>
                                  <w:sz w:val="20"/>
                                  <w:szCs w:val="20"/>
                                </w:rPr>
                              </w:pPr>
                            </w:p>
                          </w:tc>
                          <w:tc>
                            <w:tcPr>
                              <w:tcW w:w="150" w:type="dxa"/>
                              <w:shd w:val="clear" w:color="auto" w:fill="FFFFFF"/>
                              <w:vAlign w:val="center"/>
                              <w:hideMark/>
                            </w:tcPr>
                            <w:p w:rsidR="00FA751C" w:rsidRDefault="00FA751C">
                              <w:pPr>
                                <w:rPr>
                                  <w:rFonts w:eastAsia="Times New Roman"/>
                                  <w:sz w:val="20"/>
                                  <w:szCs w:val="20"/>
                                </w:rPr>
                              </w:pPr>
                            </w:p>
                          </w:tc>
                        </w:tr>
                      </w:tbl>
                      <w:p w:rsidR="00FA751C" w:rsidRDefault="00FA751C">
                        <w:pPr>
                          <w:rPr>
                            <w:rFonts w:eastAsia="Times New Roman"/>
                            <w:sz w:val="20"/>
                            <w:szCs w:val="20"/>
                          </w:rPr>
                        </w:pPr>
                      </w:p>
                    </w:tc>
                  </w:tr>
                  <w:tr w:rsidR="00FA751C">
                    <w:tc>
                      <w:tcPr>
                        <w:tcW w:w="0" w:type="auto"/>
                        <w:vAlign w:val="center"/>
                        <w:hideMark/>
                      </w:tcPr>
                      <w:tbl>
                        <w:tblPr>
                          <w:tblW w:w="0" w:type="auto"/>
                          <w:tblCellMar>
                            <w:left w:w="0" w:type="dxa"/>
                            <w:right w:w="0" w:type="dxa"/>
                          </w:tblCellMar>
                          <w:tblLook w:val="04A0" w:firstRow="1" w:lastRow="0" w:firstColumn="1" w:lastColumn="0" w:noHBand="0" w:noVBand="1"/>
                        </w:tblPr>
                        <w:tblGrid>
                          <w:gridCol w:w="133"/>
                          <w:gridCol w:w="8805"/>
                          <w:gridCol w:w="134"/>
                        </w:tblGrid>
                        <w:tr w:rsidR="00FA751C">
                          <w:tc>
                            <w:tcPr>
                              <w:tcW w:w="150" w:type="dxa"/>
                              <w:shd w:val="clear" w:color="auto" w:fill="FFFFFF"/>
                              <w:vAlign w:val="center"/>
                              <w:hideMark/>
                            </w:tcPr>
                            <w:p w:rsidR="00FA751C" w:rsidRDefault="00FA751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5"/>
                              </w:tblGrid>
                              <w:tr w:rsidR="00FA751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5"/>
                                    </w:tblGrid>
                                    <w:tr w:rsidR="00FA751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5"/>
                                          </w:tblGrid>
                                          <w:tr w:rsidR="00FA751C">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5"/>
                                                </w:tblGrid>
                                                <w:tr w:rsidR="00FA751C">
                                                  <w:tc>
                                                    <w:tcPr>
                                                      <w:tcW w:w="0" w:type="auto"/>
                                                      <w:vAlign w:val="center"/>
                                                      <w:hideMark/>
                                                    </w:tcPr>
                                                    <w:p w:rsidR="00FA751C" w:rsidRDefault="00FA751C">
                                                      <w:pPr>
                                                        <w:pStyle w:val="NormalWeb"/>
                                                        <w:spacing w:before="0" w:beforeAutospacing="0" w:after="0" w:afterAutospacing="0" w:line="390" w:lineRule="exact"/>
                                                        <w:jc w:val="right"/>
                                                        <w:rPr>
                                                          <w:rFonts w:ascii="Arial" w:hAnsi="Arial" w:cs="Arial"/>
                                                          <w:color w:val="3B3838"/>
                                                          <w:sz w:val="26"/>
                                                          <w:szCs w:val="26"/>
                                                        </w:rPr>
                                                      </w:pPr>
                                                      <w:r>
                                                        <w:rPr>
                                                          <w:rFonts w:ascii="Arial" w:hAnsi="Arial" w:cs="Arial"/>
                                                          <w:color w:val="3B3838"/>
                                                          <w:sz w:val="18"/>
                                                          <w:szCs w:val="18"/>
                                                        </w:rPr>
                                                        <w:t>Paris, le 15/02/2022</w:t>
                                                      </w:r>
                                                    </w:p>
                                                  </w:tc>
                                                </w:tr>
                                              </w:tbl>
                                              <w:p w:rsidR="00FA751C" w:rsidRDefault="00FA751C">
                                                <w:pPr>
                                                  <w:rPr>
                                                    <w:rFonts w:eastAsia="Times New Roman"/>
                                                    <w:sz w:val="20"/>
                                                    <w:szCs w:val="20"/>
                                                  </w:rPr>
                                                </w:pPr>
                                              </w:p>
                                            </w:tc>
                                          </w:tr>
                                        </w:tbl>
                                        <w:p w:rsidR="00FA751C" w:rsidRDefault="00FA751C">
                                          <w:pPr>
                                            <w:rPr>
                                              <w:rFonts w:eastAsia="Times New Roman"/>
                                              <w:sz w:val="20"/>
                                              <w:szCs w:val="20"/>
                                            </w:rPr>
                                          </w:pPr>
                                        </w:p>
                                      </w:tc>
                                    </w:tr>
                                  </w:tbl>
                                  <w:p w:rsidR="00FA751C" w:rsidRDefault="00FA751C">
                                    <w:pPr>
                                      <w:jc w:val="center"/>
                                      <w:rPr>
                                        <w:rFonts w:eastAsia="Times New Roman"/>
                                        <w:sz w:val="20"/>
                                        <w:szCs w:val="20"/>
                                      </w:rPr>
                                    </w:pPr>
                                  </w:p>
                                </w:tc>
                              </w:tr>
                            </w:tbl>
                            <w:p w:rsidR="00FA751C" w:rsidRDefault="00FA751C">
                              <w:pPr>
                                <w:jc w:val="center"/>
                                <w:rPr>
                                  <w:rFonts w:eastAsia="Times New Roman"/>
                                  <w:sz w:val="20"/>
                                  <w:szCs w:val="20"/>
                                </w:rPr>
                              </w:pPr>
                            </w:p>
                          </w:tc>
                          <w:tc>
                            <w:tcPr>
                              <w:tcW w:w="150" w:type="dxa"/>
                              <w:shd w:val="clear" w:color="auto" w:fill="FFFFFF"/>
                              <w:vAlign w:val="center"/>
                              <w:hideMark/>
                            </w:tcPr>
                            <w:p w:rsidR="00FA751C" w:rsidRDefault="00FA751C">
                              <w:pPr>
                                <w:rPr>
                                  <w:rFonts w:eastAsia="Times New Roman"/>
                                  <w:sz w:val="20"/>
                                  <w:szCs w:val="20"/>
                                </w:rPr>
                              </w:pPr>
                            </w:p>
                          </w:tc>
                        </w:tr>
                      </w:tbl>
                      <w:p w:rsidR="00FA751C" w:rsidRDefault="00FA751C">
                        <w:pPr>
                          <w:rPr>
                            <w:rFonts w:eastAsia="Times New Roman"/>
                            <w:sz w:val="20"/>
                            <w:szCs w:val="20"/>
                          </w:rPr>
                        </w:pPr>
                      </w:p>
                    </w:tc>
                  </w:tr>
                </w:tbl>
                <w:p w:rsidR="00FA751C" w:rsidRDefault="00FA751C"/>
                <w:tbl>
                  <w:tblPr>
                    <w:tblW w:w="5000" w:type="pct"/>
                    <w:tblCellMar>
                      <w:left w:w="0" w:type="dxa"/>
                      <w:right w:w="0" w:type="dxa"/>
                    </w:tblCellMar>
                    <w:tblLook w:val="04A0" w:firstRow="1" w:lastRow="0" w:firstColumn="1" w:lastColumn="0" w:noHBand="0" w:noVBand="1"/>
                  </w:tblPr>
                  <w:tblGrid>
                    <w:gridCol w:w="9072"/>
                  </w:tblGrid>
                  <w:tr w:rsidR="00FA751C">
                    <w:tc>
                      <w:tcPr>
                        <w:tcW w:w="0" w:type="auto"/>
                        <w:vAlign w:val="center"/>
                        <w:hideMark/>
                      </w:tcPr>
                      <w:tbl>
                        <w:tblPr>
                          <w:tblW w:w="0" w:type="auto"/>
                          <w:tblCellMar>
                            <w:left w:w="0" w:type="dxa"/>
                            <w:right w:w="0" w:type="dxa"/>
                          </w:tblCellMar>
                          <w:tblLook w:val="04A0" w:firstRow="1" w:lastRow="0" w:firstColumn="1" w:lastColumn="0" w:noHBand="0" w:noVBand="1"/>
                        </w:tblPr>
                        <w:tblGrid>
                          <w:gridCol w:w="128"/>
                          <w:gridCol w:w="8816"/>
                          <w:gridCol w:w="128"/>
                        </w:tblGrid>
                        <w:tr w:rsidR="00FA751C">
                          <w:tc>
                            <w:tcPr>
                              <w:tcW w:w="150" w:type="dxa"/>
                              <w:shd w:val="clear" w:color="auto" w:fill="FFFFFF"/>
                              <w:vAlign w:val="center"/>
                              <w:hideMark/>
                            </w:tcPr>
                            <w:p w:rsidR="00FA751C" w:rsidRDefault="00FA751C"/>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6"/>
                              </w:tblGrid>
                              <w:tr w:rsidR="00FA751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432"/>
                                      <w:gridCol w:w="3384"/>
                                    </w:tblGrid>
                                    <w:tr w:rsidR="00FA751C">
                                      <w:trPr>
                                        <w:jc w:val="center"/>
                                      </w:trPr>
                                      <w:tc>
                                        <w:tcPr>
                                          <w:tcW w:w="3050" w:type="pct"/>
                                          <w:hideMark/>
                                        </w:tcPr>
                                        <w:tbl>
                                          <w:tblPr>
                                            <w:tblW w:w="5000" w:type="pct"/>
                                            <w:tblCellMar>
                                              <w:left w:w="0" w:type="dxa"/>
                                              <w:right w:w="0" w:type="dxa"/>
                                            </w:tblCellMar>
                                            <w:tblLook w:val="04A0" w:firstRow="1" w:lastRow="0" w:firstColumn="1" w:lastColumn="0" w:noHBand="0" w:noVBand="1"/>
                                          </w:tblPr>
                                          <w:tblGrid>
                                            <w:gridCol w:w="5432"/>
                                          </w:tblGrid>
                                          <w:tr w:rsidR="00FA751C">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832"/>
                                                </w:tblGrid>
                                                <w:tr w:rsidR="00FA751C">
                                                  <w:trPr>
                                                    <w:trHeight w:val="1501"/>
                                                  </w:trPr>
                                                  <w:tc>
                                                    <w:tcPr>
                                                      <w:tcW w:w="0" w:type="auto"/>
                                                      <w:vAlign w:val="center"/>
                                                      <w:hideMark/>
                                                    </w:tcPr>
                                                    <w:p w:rsidR="00FA751C" w:rsidRDefault="00FA751C">
                                                      <w:pPr>
                                                        <w:pStyle w:val="NormalWeb"/>
                                                        <w:spacing w:before="0" w:beforeAutospacing="0" w:after="0" w:afterAutospacing="0" w:line="330" w:lineRule="exact"/>
                                                        <w:jc w:val="both"/>
                                                        <w:rPr>
                                                          <w:rFonts w:ascii="Arial" w:hAnsi="Arial" w:cs="Arial"/>
                                                          <w:color w:val="393939"/>
                                                          <w:sz w:val="22"/>
                                                          <w:szCs w:val="22"/>
                                                        </w:rPr>
                                                      </w:pPr>
                                                      <w:r>
                                                        <w:rPr>
                                                          <w:rStyle w:val="lev"/>
                                                          <w:rFonts w:ascii="Arial" w:hAnsi="Arial" w:cs="Arial"/>
                                                          <w:color w:val="3B3838"/>
                                                          <w:sz w:val="22"/>
                                                          <w:szCs w:val="22"/>
                                                        </w:rPr>
                                                        <w:t>PFUE : UNE DYNAMIQUE POUR ACCOMPAGNER LES RECONVERSIONS PROFESSIONNELLES FACE AUX TRANSITIONS NUMÉRIQUE ET ÉCOLOGIQUE</w:t>
                                                      </w:r>
                                                    </w:p>
                                                  </w:tc>
                                                </w:tr>
                                              </w:tbl>
                                              <w:p w:rsidR="00FA751C" w:rsidRDefault="00FA751C">
                                                <w:pPr>
                                                  <w:rPr>
                                                    <w:rFonts w:eastAsia="Times New Roman"/>
                                                    <w:sz w:val="20"/>
                                                    <w:szCs w:val="20"/>
                                                  </w:rPr>
                                                </w:pPr>
                                              </w:p>
                                            </w:tc>
                                          </w:tr>
                                        </w:tbl>
                                        <w:p w:rsidR="00FA751C" w:rsidRDefault="00FA751C">
                                          <w:pPr>
                                            <w:rPr>
                                              <w:rFonts w:eastAsia="Times New Roman"/>
                                              <w:sz w:val="20"/>
                                              <w:szCs w:val="20"/>
                                            </w:rPr>
                                          </w:pPr>
                                        </w:p>
                                      </w:tc>
                                      <w:tc>
                                        <w:tcPr>
                                          <w:tcW w:w="1900" w:type="pct"/>
                                          <w:hideMark/>
                                        </w:tcPr>
                                        <w:tbl>
                                          <w:tblPr>
                                            <w:tblW w:w="5000" w:type="pct"/>
                                            <w:tblCellMar>
                                              <w:left w:w="0" w:type="dxa"/>
                                              <w:right w:w="0" w:type="dxa"/>
                                            </w:tblCellMar>
                                            <w:tblLook w:val="04A0" w:firstRow="1" w:lastRow="0" w:firstColumn="1" w:lastColumn="0" w:noHBand="0" w:noVBand="1"/>
                                          </w:tblPr>
                                          <w:tblGrid>
                                            <w:gridCol w:w="3384"/>
                                          </w:tblGrid>
                                          <w:tr w:rsidR="00FA751C">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FA751C">
                                                  <w:trPr>
                                                    <w:trHeight w:val="300"/>
                                                    <w:jc w:val="center"/>
                                                  </w:trPr>
                                                  <w:tc>
                                                    <w:tcPr>
                                                      <w:tcW w:w="0" w:type="auto"/>
                                                      <w:vAlign w:val="center"/>
                                                      <w:hideMark/>
                                                    </w:tcPr>
                                                    <w:p w:rsidR="00FA751C" w:rsidRDefault="00FA751C">
                                                      <w:pPr>
                                                        <w:spacing w:line="300" w:lineRule="exact"/>
                                                        <w:rPr>
                                                          <w:sz w:val="30"/>
                                                          <w:szCs w:val="30"/>
                                                        </w:rPr>
                                                      </w:pPr>
                                                      <w:r>
                                                        <w:rPr>
                                                          <w:sz w:val="30"/>
                                                          <w:szCs w:val="30"/>
                                                        </w:rPr>
                                                        <w:t xml:space="preserve">  </w:t>
                                                      </w:r>
                                                    </w:p>
                                                  </w:tc>
                                                </w:tr>
                                              </w:tbl>
                                              <w:p w:rsidR="00FA751C" w:rsidRDefault="00FA751C">
                                                <w:pPr>
                                                  <w:jc w:val="center"/>
                                                  <w:rPr>
                                                    <w:rFonts w:eastAsia="Times New Roman"/>
                                                    <w:sz w:val="20"/>
                                                    <w:szCs w:val="20"/>
                                                  </w:rPr>
                                                </w:pPr>
                                              </w:p>
                                            </w:tc>
                                          </w:tr>
                                        </w:tbl>
                                        <w:p w:rsidR="00FA751C" w:rsidRDefault="00FA751C">
                                          <w:pPr>
                                            <w:rPr>
                                              <w:rFonts w:eastAsia="Times New Roman"/>
                                              <w:sz w:val="20"/>
                                              <w:szCs w:val="20"/>
                                            </w:rPr>
                                          </w:pPr>
                                        </w:p>
                                      </w:tc>
                                    </w:tr>
                                  </w:tbl>
                                  <w:p w:rsidR="00FA751C" w:rsidRDefault="00FA751C">
                                    <w:pPr>
                                      <w:jc w:val="center"/>
                                      <w:rPr>
                                        <w:rFonts w:eastAsia="Times New Roman"/>
                                        <w:sz w:val="20"/>
                                        <w:szCs w:val="20"/>
                                      </w:rPr>
                                    </w:pPr>
                                  </w:p>
                                </w:tc>
                              </w:tr>
                            </w:tbl>
                            <w:p w:rsidR="00FA751C" w:rsidRDefault="00FA751C">
                              <w:pPr>
                                <w:jc w:val="center"/>
                                <w:rPr>
                                  <w:rFonts w:eastAsia="Times New Roman"/>
                                  <w:sz w:val="20"/>
                                  <w:szCs w:val="20"/>
                                </w:rPr>
                              </w:pPr>
                            </w:p>
                          </w:tc>
                          <w:tc>
                            <w:tcPr>
                              <w:tcW w:w="150" w:type="dxa"/>
                              <w:shd w:val="clear" w:color="auto" w:fill="FFFFFF"/>
                              <w:vAlign w:val="center"/>
                              <w:hideMark/>
                            </w:tcPr>
                            <w:p w:rsidR="00FA751C" w:rsidRDefault="00FA751C">
                              <w:pPr>
                                <w:rPr>
                                  <w:rFonts w:eastAsia="Times New Roman"/>
                                  <w:sz w:val="20"/>
                                  <w:szCs w:val="20"/>
                                </w:rPr>
                              </w:pPr>
                            </w:p>
                          </w:tc>
                        </w:tr>
                      </w:tbl>
                      <w:p w:rsidR="00FA751C" w:rsidRDefault="00FA751C">
                        <w:pPr>
                          <w:rPr>
                            <w:rFonts w:eastAsia="Times New Roman"/>
                            <w:sz w:val="20"/>
                            <w:szCs w:val="20"/>
                          </w:rPr>
                        </w:pPr>
                      </w:p>
                    </w:tc>
                  </w:tr>
                  <w:tr w:rsidR="00FA751C">
                    <w:tc>
                      <w:tcPr>
                        <w:tcW w:w="0" w:type="auto"/>
                        <w:vAlign w:val="center"/>
                        <w:hideMark/>
                      </w:tcPr>
                      <w:tbl>
                        <w:tblPr>
                          <w:tblW w:w="0" w:type="auto"/>
                          <w:tblCellMar>
                            <w:left w:w="0" w:type="dxa"/>
                            <w:right w:w="0" w:type="dxa"/>
                          </w:tblCellMar>
                          <w:tblLook w:val="04A0" w:firstRow="1" w:lastRow="0" w:firstColumn="1" w:lastColumn="0" w:noHBand="0" w:noVBand="1"/>
                        </w:tblPr>
                        <w:tblGrid>
                          <w:gridCol w:w="131"/>
                          <w:gridCol w:w="8810"/>
                          <w:gridCol w:w="131"/>
                        </w:tblGrid>
                        <w:tr w:rsidR="00FA751C">
                          <w:tc>
                            <w:tcPr>
                              <w:tcW w:w="150" w:type="dxa"/>
                              <w:shd w:val="clear" w:color="auto" w:fill="FFFFFF"/>
                              <w:vAlign w:val="center"/>
                              <w:hideMark/>
                            </w:tcPr>
                            <w:p w:rsidR="00FA751C" w:rsidRDefault="00FA751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FA751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FA751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0"/>
                                          </w:tblGrid>
                                          <w:tr w:rsidR="00FA751C">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10"/>
                                                </w:tblGrid>
                                                <w:tr w:rsidR="00FA751C">
                                                  <w:tc>
                                                    <w:tcPr>
                                                      <w:tcW w:w="0" w:type="auto"/>
                                                      <w:vAlign w:val="center"/>
                                                    </w:tcPr>
                                                    <w:p w:rsidR="00FA751C" w:rsidRDefault="00FA751C">
                                                      <w:pPr>
                                                        <w:spacing w:line="360" w:lineRule="auto"/>
                                                        <w:jc w:val="both"/>
                                                        <w:rPr>
                                                          <w:rFonts w:ascii="Arial" w:hAnsi="Arial" w:cs="Arial"/>
                                                          <w:b/>
                                                          <w:bCs/>
                                                          <w:color w:val="3B3838"/>
                                                          <w:sz w:val="21"/>
                                                          <w:szCs w:val="21"/>
                                                        </w:rPr>
                                                      </w:pPr>
                                                      <w:r>
                                                        <w:rPr>
                                                          <w:rFonts w:ascii="Arial" w:hAnsi="Arial" w:cs="Arial"/>
                                                          <w:b/>
                                                          <w:bCs/>
                                                          <w:color w:val="3B3838"/>
                                                          <w:sz w:val="21"/>
                                                          <w:szCs w:val="21"/>
                                                        </w:rPr>
                                                        <w:t xml:space="preserve">Dans le cadre de la présidence française du Conseil de l’Union européenne, Élisabeth Borne, ministre du Travail, de l'Emploi et de l'Insertion, a réuni ce jour à Bordeaux les ministres européens du travail et des affaires sociales et le commissaire européen à l’emploi et aux droits sociaux Nicolas </w:t>
                                                      </w:r>
                                                      <w:proofErr w:type="spellStart"/>
                                                      <w:r>
                                                        <w:rPr>
                                                          <w:rFonts w:ascii="Arial" w:hAnsi="Arial" w:cs="Arial"/>
                                                          <w:b/>
                                                          <w:bCs/>
                                                          <w:color w:val="3B3838"/>
                                                          <w:sz w:val="21"/>
                                                          <w:szCs w:val="21"/>
                                                        </w:rPr>
                                                        <w:t>Schmit</w:t>
                                                      </w:r>
                                                      <w:proofErr w:type="spellEnd"/>
                                                      <w:r>
                                                        <w:rPr>
                                                          <w:rFonts w:ascii="Arial" w:hAnsi="Arial" w:cs="Arial"/>
                                                          <w:b/>
                                                          <w:bCs/>
                                                          <w:color w:val="3B3838"/>
                                                          <w:sz w:val="21"/>
                                                          <w:szCs w:val="21"/>
                                                        </w:rPr>
                                                        <w:t xml:space="preserve">, pour une réunion informelle du Conseil « Emploi, politique sociale, santé et </w:t>
                                                      </w:r>
                                                      <w:r>
                                                        <w:rPr>
                                                          <w:rFonts w:ascii="Arial" w:hAnsi="Arial" w:cs="Arial"/>
                                                          <w:b/>
                                                          <w:bCs/>
                                                          <w:color w:val="3B3838"/>
                                                          <w:sz w:val="21"/>
                                                          <w:szCs w:val="21"/>
                                                        </w:rPr>
                                                        <w:lastRenderedPageBreak/>
                                                        <w:t>consommateurs » (EPSCO) dédiée à l’impact des transitions numérique et climatique sur le marché du travail. En présence des partenaires sociaux européens, d’eurodéputés et de représentants de la société civile et d’organisations internationales, les ministres européens se sont accordés sur l’importance d’investir dans les compétences, d’accompagner les transitions professionnelles et de renforcer le dialogue social face à ces mutations.</w:t>
                                                      </w:r>
                                                    </w:p>
                                                    <w:p w:rsidR="00FA751C" w:rsidRDefault="00FA751C">
                                                      <w:pPr>
                                                        <w:spacing w:line="360" w:lineRule="auto"/>
                                                        <w:jc w:val="both"/>
                                                        <w:rPr>
                                                          <w:rFonts w:ascii="Arial" w:hAnsi="Arial" w:cs="Arial"/>
                                                          <w:b/>
                                                          <w:bCs/>
                                                          <w:color w:val="3B3838"/>
                                                          <w:sz w:val="21"/>
                                                          <w:szCs w:val="21"/>
                                                        </w:rPr>
                                                      </w:pPr>
                                                    </w:p>
                                                    <w:p w:rsidR="00FA751C" w:rsidRDefault="00FA751C">
                                                      <w:pPr>
                                                        <w:spacing w:line="360" w:lineRule="auto"/>
                                                        <w:jc w:val="both"/>
                                                        <w:rPr>
                                                          <w:rFonts w:ascii="Arial" w:hAnsi="Arial" w:cs="Arial"/>
                                                          <w:color w:val="3B3838"/>
                                                          <w:sz w:val="21"/>
                                                          <w:szCs w:val="21"/>
                                                        </w:rPr>
                                                      </w:pPr>
                                                      <w:r>
                                                        <w:rPr>
                                                          <w:rFonts w:ascii="Arial" w:hAnsi="Arial" w:cs="Arial"/>
                                                          <w:color w:val="3B3838"/>
                                                          <w:sz w:val="21"/>
                                                          <w:szCs w:val="21"/>
                                                        </w:rPr>
                                                        <w:t>Les transitions numérique et écologique entraînent des mutations profondes sur le marché du travail : des emplois se créent, d’autres disparaissent ou évoluent. Ces transformations engendrent un nouveau besoin en compétences des entreprises mais aussi une nécessité d’accompagner les reconversions professionnelles des salariés dont les emplois sont fragilisés.</w:t>
                                                      </w:r>
                                                    </w:p>
                                                    <w:p w:rsidR="00FA751C" w:rsidRDefault="00FA751C">
                                                      <w:pPr>
                                                        <w:spacing w:line="360" w:lineRule="auto"/>
                                                        <w:jc w:val="both"/>
                                                        <w:rPr>
                                                          <w:rFonts w:ascii="Arial" w:hAnsi="Arial" w:cs="Arial"/>
                                                          <w:color w:val="3B3838"/>
                                                          <w:sz w:val="21"/>
                                                          <w:szCs w:val="21"/>
                                                        </w:rPr>
                                                      </w:pPr>
                                                    </w:p>
                                                    <w:p w:rsidR="00FA751C" w:rsidRDefault="00FA751C">
                                                      <w:pPr>
                                                        <w:spacing w:line="360" w:lineRule="auto"/>
                                                        <w:jc w:val="both"/>
                                                        <w:rPr>
                                                          <w:rFonts w:ascii="Arial" w:hAnsi="Arial" w:cs="Arial"/>
                                                          <w:color w:val="3B3838"/>
                                                          <w:sz w:val="21"/>
                                                          <w:szCs w:val="21"/>
                                                        </w:rPr>
                                                      </w:pPr>
                                                      <w:r>
                                                        <w:rPr>
                                                          <w:rFonts w:ascii="Arial" w:hAnsi="Arial" w:cs="Arial"/>
                                                          <w:color w:val="3B3838"/>
                                                          <w:sz w:val="21"/>
                                                          <w:szCs w:val="21"/>
                                                        </w:rPr>
                                                        <w:t>Face à cela, il apparaît indispensable que les États membres de l’Union européenne investissent pour permettre aux compétences des salariés d’évoluer et de protéger ainsi l’emploi, tout en renforçant le dialogue social, essentiel face aux mutations en cours au sein des entreprises et du monde du travail.</w:t>
                                                      </w:r>
                                                    </w:p>
                                                    <w:p w:rsidR="00FA751C" w:rsidRDefault="00FA751C">
                                                      <w:pPr>
                                                        <w:spacing w:line="360" w:lineRule="auto"/>
                                                        <w:jc w:val="both"/>
                                                        <w:rPr>
                                                          <w:rFonts w:ascii="Arial" w:hAnsi="Arial" w:cs="Arial"/>
                                                          <w:color w:val="3B3838"/>
                                                          <w:sz w:val="21"/>
                                                          <w:szCs w:val="21"/>
                                                        </w:rPr>
                                                      </w:pPr>
                                                    </w:p>
                                                    <w:p w:rsidR="00FA751C" w:rsidRDefault="00FA751C">
                                                      <w:pPr>
                                                        <w:spacing w:line="360" w:lineRule="auto"/>
                                                        <w:jc w:val="both"/>
                                                        <w:rPr>
                                                          <w:rFonts w:ascii="Arial" w:hAnsi="Arial" w:cs="Arial"/>
                                                          <w:b/>
                                                          <w:bCs/>
                                                          <w:color w:val="3B3838"/>
                                                          <w:sz w:val="21"/>
                                                          <w:szCs w:val="21"/>
                                                        </w:rPr>
                                                      </w:pPr>
                                                      <w:r>
                                                        <w:rPr>
                                                          <w:rFonts w:ascii="Arial" w:hAnsi="Arial" w:cs="Arial"/>
                                                          <w:b/>
                                                          <w:bCs/>
                                                          <w:color w:val="3B3838"/>
                                                          <w:sz w:val="21"/>
                                                          <w:szCs w:val="21"/>
                                                        </w:rPr>
                                                        <w:t>Investir dans les compétences pour former aux métiers d’avenir et anticiper les besoins</w:t>
                                                      </w:r>
                                                    </w:p>
                                                    <w:p w:rsidR="00FA751C" w:rsidRDefault="00FA751C">
                                                      <w:pPr>
                                                        <w:spacing w:line="360" w:lineRule="auto"/>
                                                        <w:jc w:val="both"/>
                                                        <w:rPr>
                                                          <w:rFonts w:ascii="Arial" w:hAnsi="Arial" w:cs="Arial"/>
                                                          <w:b/>
                                                          <w:bCs/>
                                                          <w:color w:val="3B3838"/>
                                                          <w:sz w:val="4"/>
                                                          <w:szCs w:val="4"/>
                                                        </w:rPr>
                                                      </w:pPr>
                                                    </w:p>
                                                    <w:p w:rsidR="00FA751C" w:rsidRDefault="00FA751C">
                                                      <w:pPr>
                                                        <w:spacing w:line="360" w:lineRule="auto"/>
                                                        <w:jc w:val="both"/>
                                                        <w:rPr>
                                                          <w:rFonts w:ascii="Arial" w:hAnsi="Arial" w:cs="Arial"/>
                                                          <w:color w:val="3B3838"/>
                                                          <w:sz w:val="21"/>
                                                          <w:szCs w:val="21"/>
                                                        </w:rPr>
                                                      </w:pPr>
                                                      <w:r>
                                                        <w:rPr>
                                                          <w:rFonts w:ascii="Arial" w:hAnsi="Arial" w:cs="Arial"/>
                                                          <w:color w:val="3B3838"/>
                                                          <w:sz w:val="21"/>
                                                          <w:szCs w:val="21"/>
                                                        </w:rPr>
                                                        <w:t>Les ministres ont convenu de l’importance d’investir dans les compétences en Europe afin d’identifier et d’anticiper les besoins pour former aux métiers d’avenir, et ce tant au niveau de la formation initiale des jeunes que de la reconversion des adultes. Ils ont échangé sur la manière de mobiliser les financements européens et de renforcer le cadre européen en matière.</w:t>
                                                      </w:r>
                                                    </w:p>
                                                    <w:p w:rsidR="00FA751C" w:rsidRDefault="00FA751C">
                                                      <w:pPr>
                                                        <w:spacing w:line="360" w:lineRule="auto"/>
                                                        <w:jc w:val="both"/>
                                                        <w:rPr>
                                                          <w:rFonts w:ascii="Arial" w:hAnsi="Arial" w:cs="Arial"/>
                                                          <w:color w:val="3B3838"/>
                                                          <w:sz w:val="12"/>
                                                          <w:szCs w:val="12"/>
                                                        </w:rPr>
                                                      </w:pPr>
                                                    </w:p>
                                                    <w:p w:rsidR="00FA751C" w:rsidRDefault="00FA751C">
                                                      <w:pPr>
                                                        <w:spacing w:line="360" w:lineRule="auto"/>
                                                        <w:jc w:val="both"/>
                                                        <w:rPr>
                                                          <w:rFonts w:ascii="Arial" w:hAnsi="Arial" w:cs="Arial"/>
                                                          <w:color w:val="3B3838"/>
                                                          <w:sz w:val="21"/>
                                                          <w:szCs w:val="21"/>
                                                        </w:rPr>
                                                      </w:pPr>
                                                      <w:r>
                                                        <w:rPr>
                                                          <w:rFonts w:ascii="Arial" w:hAnsi="Arial" w:cs="Arial"/>
                                                          <w:color w:val="3B3838"/>
                                                          <w:sz w:val="21"/>
                                                          <w:szCs w:val="21"/>
                                                        </w:rPr>
                                                        <w:t xml:space="preserve">L’Union a déjà engagé des initiatives pour accompagner ces transformations, notamment à travers la </w:t>
                                                      </w:r>
                                                      <w:hyperlink r:id="rId7" w:history="1">
                                                        <w:r>
                                                          <w:rPr>
                                                            <w:rStyle w:val="Lienhypertexte"/>
                                                            <w:rFonts w:ascii="Arial" w:hAnsi="Arial" w:cs="Arial"/>
                                                            <w:sz w:val="21"/>
                                                            <w:szCs w:val="21"/>
                                                          </w:rPr>
                                                          <w:t>stratégie en matière de compétences</w:t>
                                                        </w:r>
                                                      </w:hyperlink>
                                                      <w:r>
                                                        <w:rPr>
                                                          <w:rFonts w:ascii="Arial" w:hAnsi="Arial" w:cs="Arial"/>
                                                          <w:color w:val="3B3838"/>
                                                          <w:sz w:val="21"/>
                                                          <w:szCs w:val="21"/>
                                                        </w:rPr>
                                                        <w:t>, présentée par la Commission européenne en juillet 2020.</w:t>
                                                      </w:r>
                                                    </w:p>
                                                    <w:p w:rsidR="00FA751C" w:rsidRDefault="00FA751C">
                                                      <w:pPr>
                                                        <w:spacing w:line="360" w:lineRule="auto"/>
                                                        <w:jc w:val="both"/>
                                                        <w:rPr>
                                                          <w:rFonts w:ascii="Arial" w:hAnsi="Arial" w:cs="Arial"/>
                                                          <w:color w:val="3B3838"/>
                                                          <w:sz w:val="21"/>
                                                          <w:szCs w:val="21"/>
                                                        </w:rPr>
                                                      </w:pPr>
                                                    </w:p>
                                                    <w:p w:rsidR="00FA751C" w:rsidRDefault="00FA751C">
                                                      <w:pPr>
                                                        <w:spacing w:line="360" w:lineRule="auto"/>
                                                        <w:jc w:val="both"/>
                                                        <w:rPr>
                                                          <w:rFonts w:ascii="Arial" w:hAnsi="Arial" w:cs="Arial"/>
                                                          <w:color w:val="3B3838"/>
                                                          <w:sz w:val="21"/>
                                                          <w:szCs w:val="21"/>
                                                        </w:rPr>
                                                      </w:pPr>
                                                      <w:r>
                                                        <w:rPr>
                                                          <w:rFonts w:ascii="Arial" w:hAnsi="Arial" w:cs="Arial"/>
                                                          <w:color w:val="3B3838"/>
                                                          <w:sz w:val="21"/>
                                                          <w:szCs w:val="21"/>
                                                        </w:rPr>
                                                        <w:t xml:space="preserve">Dans ce cadre, l’investissement de l’UE pour soutenir les mesures de formation est également essentiel et se décline à travers plusieurs programmes, notamment le Fonds social européen plus, le </w:t>
                                                      </w:r>
                                                      <w:hyperlink r:id="rId8" w:history="1">
                                                        <w:r>
                                                          <w:rPr>
                                                            <w:rStyle w:val="Lienhypertexte"/>
                                                            <w:rFonts w:ascii="Arial" w:hAnsi="Arial" w:cs="Arial"/>
                                                            <w:sz w:val="21"/>
                                                            <w:szCs w:val="21"/>
                                                          </w:rPr>
                                                          <w:t>Fonds pour une transition juste</w:t>
                                                        </w:r>
                                                      </w:hyperlink>
                                                      <w:r>
                                                        <w:rPr>
                                                          <w:rFonts w:ascii="Arial" w:hAnsi="Arial" w:cs="Arial"/>
                                                          <w:color w:val="3B3838"/>
                                                          <w:sz w:val="21"/>
                                                          <w:szCs w:val="21"/>
                                                        </w:rPr>
                                                        <w:t xml:space="preserve">, le programme </w:t>
                                                      </w:r>
                                                      <w:proofErr w:type="spellStart"/>
                                                      <w:r>
                                                        <w:rPr>
                                                          <w:rFonts w:ascii="Arial" w:hAnsi="Arial" w:cs="Arial"/>
                                                          <w:color w:val="3B3838"/>
                                                          <w:sz w:val="21"/>
                                                          <w:szCs w:val="21"/>
                                                        </w:rPr>
                                                        <w:t>InvestEU</w:t>
                                                      </w:r>
                                                      <w:proofErr w:type="spellEnd"/>
                                                      <w:r>
                                                        <w:rPr>
                                                          <w:rFonts w:ascii="Arial" w:hAnsi="Arial" w:cs="Arial"/>
                                                          <w:color w:val="3B3838"/>
                                                          <w:sz w:val="21"/>
                                                          <w:szCs w:val="21"/>
                                                        </w:rPr>
                                                        <w:t xml:space="preserve"> et le Fonds européen d'ajustement à la mondialisation. Les financements de la facilité de relance et de résilience peuvent également soutenir des mesures pour faire face aux défis des transitions numérique et écologique en matière de formation.</w:t>
                                                      </w:r>
                                                    </w:p>
                                                    <w:p w:rsidR="00FA751C" w:rsidRDefault="00FA751C">
                                                      <w:pPr>
                                                        <w:spacing w:line="360" w:lineRule="auto"/>
                                                        <w:jc w:val="both"/>
                                                        <w:rPr>
                                                          <w:rFonts w:ascii="Arial" w:hAnsi="Arial" w:cs="Arial"/>
                                                          <w:color w:val="3B3838"/>
                                                          <w:sz w:val="21"/>
                                                          <w:szCs w:val="21"/>
                                                        </w:rPr>
                                                      </w:pPr>
                                                    </w:p>
                                                    <w:p w:rsidR="00FA751C" w:rsidRDefault="00FA751C">
                                                      <w:pPr>
                                                        <w:spacing w:line="360" w:lineRule="auto"/>
                                                        <w:jc w:val="both"/>
                                                        <w:rPr>
                                                          <w:rFonts w:ascii="Arial" w:hAnsi="Arial" w:cs="Arial"/>
                                                          <w:b/>
                                                          <w:bCs/>
                                                          <w:color w:val="3B3838"/>
                                                          <w:sz w:val="21"/>
                                                          <w:szCs w:val="21"/>
                                                        </w:rPr>
                                                      </w:pPr>
                                                      <w:r>
                                                        <w:rPr>
                                                          <w:rFonts w:ascii="Arial" w:hAnsi="Arial" w:cs="Arial"/>
                                                          <w:b/>
                                                          <w:bCs/>
                                                          <w:color w:val="3B3838"/>
                                                          <w:sz w:val="21"/>
                                                          <w:szCs w:val="21"/>
                                                        </w:rPr>
                                                        <w:lastRenderedPageBreak/>
                                                        <w:t>Accompagner les transitions professionnelles des travailleurs</w:t>
                                                      </w:r>
                                                    </w:p>
                                                    <w:p w:rsidR="00FA751C" w:rsidRDefault="00FA751C">
                                                      <w:pPr>
                                                        <w:spacing w:line="360" w:lineRule="auto"/>
                                                        <w:jc w:val="both"/>
                                                        <w:rPr>
                                                          <w:rFonts w:ascii="Arial" w:hAnsi="Arial" w:cs="Arial"/>
                                                          <w:b/>
                                                          <w:bCs/>
                                                          <w:color w:val="3B3838"/>
                                                          <w:sz w:val="4"/>
                                                          <w:szCs w:val="4"/>
                                                        </w:rPr>
                                                      </w:pPr>
                                                    </w:p>
                                                    <w:p w:rsidR="00FA751C" w:rsidRDefault="00FA751C">
                                                      <w:pPr>
                                                        <w:spacing w:line="360" w:lineRule="auto"/>
                                                        <w:jc w:val="both"/>
                                                        <w:rPr>
                                                          <w:rFonts w:ascii="Arial" w:hAnsi="Arial" w:cs="Arial"/>
                                                          <w:color w:val="3B3838"/>
                                                          <w:sz w:val="21"/>
                                                          <w:szCs w:val="21"/>
                                                        </w:rPr>
                                                      </w:pPr>
                                                      <w:r>
                                                        <w:rPr>
                                                          <w:rFonts w:ascii="Arial" w:hAnsi="Arial" w:cs="Arial"/>
                                                          <w:color w:val="3B3838"/>
                                                          <w:sz w:val="21"/>
                                                          <w:szCs w:val="21"/>
                                                        </w:rPr>
                                                        <w:t>Les ministres se sont également accordés sur la nécessité de mettre en place des dispositifs d’accompagnement des transitions professionnelles, de manière à permettre aux travailleurs impactés par ces changements d’évoluer ou de se reconvertir. Ils ont souligné l’importance d’assurer la sécurisation des parcours professionnels dans le cadre de ces reconversions. Les ministres ont partagé les initiatives mises en place au niveau national, et échangé sur la meilleure manière de les mettre en œuvre de manière efficace. Ils ont également évoqué leur articulation avec les financements européens, et la manière de renforcer l’action de l’Union européenne dans ce domaine.</w:t>
                                                      </w:r>
                                                    </w:p>
                                                    <w:p w:rsidR="00FA751C" w:rsidRDefault="00FA751C">
                                                      <w:pPr>
                                                        <w:spacing w:line="360" w:lineRule="auto"/>
                                                        <w:jc w:val="both"/>
                                                        <w:rPr>
                                                          <w:rFonts w:ascii="Arial" w:hAnsi="Arial" w:cs="Arial"/>
                                                          <w:color w:val="3B3838"/>
                                                          <w:sz w:val="12"/>
                                                          <w:szCs w:val="12"/>
                                                        </w:rPr>
                                                      </w:pPr>
                                                    </w:p>
                                                    <w:p w:rsidR="00FA751C" w:rsidRDefault="00FA751C">
                                                      <w:pPr>
                                                        <w:spacing w:line="360" w:lineRule="auto"/>
                                                        <w:jc w:val="both"/>
                                                        <w:rPr>
                                                          <w:rFonts w:ascii="Arial" w:hAnsi="Arial" w:cs="Arial"/>
                                                          <w:color w:val="3B3838"/>
                                                          <w:sz w:val="21"/>
                                                          <w:szCs w:val="21"/>
                                                        </w:rPr>
                                                      </w:pPr>
                                                      <w:r>
                                                        <w:rPr>
                                                          <w:rFonts w:ascii="Arial" w:hAnsi="Arial" w:cs="Arial"/>
                                                          <w:color w:val="3B3838"/>
                                                          <w:sz w:val="21"/>
                                                          <w:szCs w:val="21"/>
                                                        </w:rPr>
                                                        <w:t>Le Plan d’action pour la mise en œuvre du Socle européen des droits sociaux comprend plusieurs initiatives qui visent à s’inscrire dans cette problématique. En décembre 2021, la Commission a présenté trois propositions de recommandations qui portent notamment sur les enjeux d’accompagnement des transitions professionnelles : une recommandation sur les comptes individuels de formation, une recommandation sur les micro-certifications en matière de compétences, et une recommandation transversale sur la manière d’assurer une transition équitable vers la neutralité climatique.</w:t>
                                                      </w:r>
                                                    </w:p>
                                                    <w:p w:rsidR="00FA751C" w:rsidRDefault="00FA751C">
                                                      <w:pPr>
                                                        <w:spacing w:line="360" w:lineRule="auto"/>
                                                        <w:jc w:val="both"/>
                                                        <w:rPr>
                                                          <w:rFonts w:ascii="Arial" w:hAnsi="Arial" w:cs="Arial"/>
                                                          <w:color w:val="3B3838"/>
                                                          <w:sz w:val="12"/>
                                                          <w:szCs w:val="12"/>
                                                        </w:rPr>
                                                      </w:pPr>
                                                    </w:p>
                                                    <w:p w:rsidR="00FA751C" w:rsidRDefault="00FA751C">
                                                      <w:pPr>
                                                        <w:spacing w:line="360" w:lineRule="auto"/>
                                                        <w:jc w:val="both"/>
                                                        <w:rPr>
                                                          <w:rFonts w:ascii="Arial" w:hAnsi="Arial" w:cs="Arial"/>
                                                          <w:color w:val="3B3838"/>
                                                          <w:sz w:val="21"/>
                                                          <w:szCs w:val="21"/>
                                                        </w:rPr>
                                                      </w:pPr>
                                                      <w:r>
                                                        <w:rPr>
                                                          <w:rFonts w:ascii="Arial" w:hAnsi="Arial" w:cs="Arial"/>
                                                          <w:color w:val="3B3838"/>
                                                          <w:sz w:val="21"/>
                                                          <w:szCs w:val="21"/>
                                                        </w:rPr>
                                                        <w:t>Les financements européens, notamment à travers le Fonds pour une transition juste et le Fonds social européen plus, peuvent apporter un soutien aux travailleurs et aux régions les plus touchés par la transition verte, en finançant la formation, la requalification et la diversification économique. Enfin, le Fonds européen d’ajustement à la mondialisation vise à répondre à des situations d’urgence à l’égard des travailleurs confrontés à une restructuration de grande ampleur, et à les soutenir dans leur retour vers l’emploi. Les financements de la facilité de relance et de résilience peuvent également être mobilisés dans ce cadre.</w:t>
                                                      </w:r>
                                                    </w:p>
                                                    <w:p w:rsidR="00FA751C" w:rsidRDefault="00FA751C">
                                                      <w:pPr>
                                                        <w:spacing w:line="360" w:lineRule="auto"/>
                                                        <w:jc w:val="both"/>
                                                        <w:rPr>
                                                          <w:rFonts w:ascii="Arial" w:hAnsi="Arial" w:cs="Arial"/>
                                                          <w:color w:val="3B3838"/>
                                                          <w:sz w:val="21"/>
                                                          <w:szCs w:val="21"/>
                                                        </w:rPr>
                                                      </w:pPr>
                                                    </w:p>
                                                    <w:p w:rsidR="00FA751C" w:rsidRDefault="00FA751C">
                                                      <w:pPr>
                                                        <w:spacing w:line="360" w:lineRule="auto"/>
                                                        <w:jc w:val="both"/>
                                                        <w:rPr>
                                                          <w:rFonts w:ascii="Arial" w:hAnsi="Arial" w:cs="Arial"/>
                                                          <w:b/>
                                                          <w:bCs/>
                                                          <w:color w:val="3B3838"/>
                                                          <w:sz w:val="21"/>
                                                          <w:szCs w:val="21"/>
                                                        </w:rPr>
                                                      </w:pPr>
                                                      <w:r>
                                                        <w:rPr>
                                                          <w:rFonts w:ascii="Arial" w:hAnsi="Arial" w:cs="Arial"/>
                                                          <w:b/>
                                                          <w:bCs/>
                                                          <w:color w:val="3B3838"/>
                                                          <w:sz w:val="21"/>
                                                          <w:szCs w:val="21"/>
                                                        </w:rPr>
                                                        <w:t>Renforcer le dialogue social européen et national</w:t>
                                                      </w:r>
                                                    </w:p>
                                                    <w:p w:rsidR="00FA751C" w:rsidRDefault="00FA751C">
                                                      <w:pPr>
                                                        <w:spacing w:line="360" w:lineRule="auto"/>
                                                        <w:jc w:val="both"/>
                                                        <w:rPr>
                                                          <w:rFonts w:ascii="Arial" w:hAnsi="Arial" w:cs="Arial"/>
                                                          <w:b/>
                                                          <w:bCs/>
                                                          <w:color w:val="3B3838"/>
                                                          <w:sz w:val="4"/>
                                                          <w:szCs w:val="4"/>
                                                        </w:rPr>
                                                      </w:pPr>
                                                    </w:p>
                                                    <w:p w:rsidR="00FA751C" w:rsidRDefault="00FA751C">
                                                      <w:pPr>
                                                        <w:spacing w:line="360" w:lineRule="auto"/>
                                                        <w:jc w:val="both"/>
                                                        <w:rPr>
                                                          <w:rFonts w:ascii="Arial" w:hAnsi="Arial" w:cs="Arial"/>
                                                          <w:color w:val="3B3838"/>
                                                          <w:sz w:val="21"/>
                                                          <w:szCs w:val="21"/>
                                                        </w:rPr>
                                                      </w:pPr>
                                                      <w:r>
                                                        <w:rPr>
                                                          <w:rFonts w:ascii="Arial" w:hAnsi="Arial" w:cs="Arial"/>
                                                          <w:color w:val="3B3838"/>
                                                          <w:sz w:val="21"/>
                                                          <w:szCs w:val="21"/>
                                                        </w:rPr>
                                                        <w:t>Les partenaires se sont accordés sur le renforcement du dialogue social en Europe et dans chaque État membre autour des enjeux de la transition numérique et écologique. Ils ont convenu d’engager une réflexion sur la manière de mieux associer les partenaires sociaux et d’encourager le dialogue social tous les niveaux (européen, national, local, sectoriel) face aux mutations en cours.</w:t>
                                                      </w:r>
                                                    </w:p>
                                                    <w:p w:rsidR="00FA751C" w:rsidRDefault="00FA751C">
                                                      <w:pPr>
                                                        <w:spacing w:line="360" w:lineRule="auto"/>
                                                        <w:jc w:val="both"/>
                                                        <w:rPr>
                                                          <w:rFonts w:ascii="Arial" w:hAnsi="Arial" w:cs="Arial"/>
                                                          <w:color w:val="3B3838"/>
                                                          <w:sz w:val="12"/>
                                                          <w:szCs w:val="12"/>
                                                        </w:rPr>
                                                      </w:pPr>
                                                    </w:p>
                                                    <w:p w:rsidR="00FA751C" w:rsidRDefault="00FA751C">
                                                      <w:pPr>
                                                        <w:spacing w:line="360" w:lineRule="auto"/>
                                                        <w:jc w:val="both"/>
                                                        <w:rPr>
                                                          <w:color w:val="3B3838"/>
                                                          <w:sz w:val="21"/>
                                                          <w:szCs w:val="21"/>
                                                        </w:rPr>
                                                      </w:pPr>
                                                      <w:r>
                                                        <w:rPr>
                                                          <w:rFonts w:ascii="Arial" w:hAnsi="Arial" w:cs="Arial"/>
                                                          <w:color w:val="3B3838"/>
                                                          <w:sz w:val="21"/>
                                                          <w:szCs w:val="21"/>
                                                        </w:rPr>
                                                        <w:t xml:space="preserve">Au niveau européen, le cadre politique du dialogue social est défini dans le Socle européen des droits sociaux, qui précise que les partenaires sociaux doivent être consultés sur la conception des politiques économiques et sociales, et encouragés à </w:t>
                                                      </w:r>
                                                      <w:r>
                                                        <w:rPr>
                                                          <w:rFonts w:ascii="Arial" w:hAnsi="Arial" w:cs="Arial"/>
                                                          <w:color w:val="3B3838"/>
                                                          <w:sz w:val="21"/>
                                                          <w:szCs w:val="21"/>
                                                        </w:rPr>
                                                        <w:lastRenderedPageBreak/>
                                                        <w:t>conclure des conventions collectives. Dans le cadre du Plan d’action pour la mise en œuvre du Socle européen des droits sociaux, une initiative de la Commission visant à soutenir le dialogue social au niveau de l’Union et à l’échelle nationale, notamment dans le cadre des transitions écologique et numérique, est attendue au deuxième semestre 2022.</w:t>
                                                      </w:r>
                                                      <w:r>
                                                        <w:rPr>
                                                          <w:color w:val="3B3838"/>
                                                          <w:sz w:val="21"/>
                                                          <w:szCs w:val="21"/>
                                                        </w:rPr>
                                                        <w:t xml:space="preserve"> </w:t>
                                                      </w:r>
                                                    </w:p>
                                                    <w:p w:rsidR="00FA751C" w:rsidRDefault="00FA751C">
                                                      <w:pPr>
                                                        <w:spacing w:line="360" w:lineRule="auto"/>
                                                        <w:jc w:val="both"/>
                                                        <w:rPr>
                                                          <w:rFonts w:ascii="Arial" w:hAnsi="Arial" w:cs="Arial"/>
                                                          <w:color w:val="3B3838"/>
                                                          <w:sz w:val="21"/>
                                                          <w:szCs w:val="21"/>
                                                        </w:rPr>
                                                      </w:pPr>
                                                    </w:p>
                                                    <w:p w:rsidR="00FA751C" w:rsidRDefault="00FA751C">
                                                      <w:pPr>
                                                        <w:spacing w:line="360" w:lineRule="auto"/>
                                                        <w:jc w:val="both"/>
                                                        <w:rPr>
                                                          <w:rFonts w:ascii="Arial" w:hAnsi="Arial" w:cs="Arial"/>
                                                          <w:b/>
                                                          <w:bCs/>
                                                          <w:color w:val="3B3838"/>
                                                          <w:sz w:val="21"/>
                                                          <w:szCs w:val="21"/>
                                                        </w:rPr>
                                                      </w:pPr>
                                                      <w:r>
                                                        <w:rPr>
                                                          <w:rFonts w:ascii="Arial" w:hAnsi="Arial" w:cs="Arial"/>
                                                          <w:i/>
                                                          <w:iCs/>
                                                          <w:color w:val="3B3838"/>
                                                          <w:sz w:val="21"/>
                                                          <w:szCs w:val="21"/>
                                                        </w:rPr>
                                                        <w:t xml:space="preserve">« Les changements en cours dans nos sociétés, qu’ils concernent l’avènement du numérique ou le climat, sont sources d’inquiétudes pour nos concitoyens. Le rôle de chaque État et de l’Union européenne doit être d’agir pour protéger les emplois et garantir à chaque Européen qu’il aura toujours toute sa place au sein de la société. C’est pourquoi il est impératif d’investir dans la formation initiale et continue ainsi que dans les reconversions professionnelles comme le font l’Union européenne et bon nombre d’États membres, et de donner toute sa place au dialogue social face à ces transformations. Cette question est au cœur de la présidence française du Conseil de l’Union européenne et est essentielle pour bâtir la croissance européenne de demain » </w:t>
                                                      </w:r>
                                                      <w:r>
                                                        <w:rPr>
                                                          <w:rFonts w:ascii="Arial" w:hAnsi="Arial" w:cs="Arial"/>
                                                          <w:color w:val="3B3838"/>
                                                          <w:sz w:val="21"/>
                                                          <w:szCs w:val="21"/>
                                                        </w:rPr>
                                                        <w:t>déclare</w:t>
                                                      </w:r>
                                                      <w:r>
                                                        <w:rPr>
                                                          <w:rFonts w:ascii="Arial" w:hAnsi="Arial" w:cs="Arial"/>
                                                          <w:i/>
                                                          <w:iCs/>
                                                          <w:color w:val="3B3838"/>
                                                          <w:sz w:val="21"/>
                                                          <w:szCs w:val="21"/>
                                                        </w:rPr>
                                                        <w:t xml:space="preserve"> </w:t>
                                                      </w:r>
                                                      <w:r>
                                                        <w:rPr>
                                                          <w:rFonts w:ascii="Arial" w:hAnsi="Arial" w:cs="Arial"/>
                                                          <w:b/>
                                                          <w:bCs/>
                                                          <w:color w:val="3B3838"/>
                                                          <w:sz w:val="21"/>
                                                          <w:szCs w:val="21"/>
                                                        </w:rPr>
                                                        <w:t>Élisabeth Borne, ministre du Travail, de l’Emploi et de l’Insertion.</w:t>
                                                      </w:r>
                                                    </w:p>
                                                    <w:p w:rsidR="00FA751C" w:rsidRDefault="00FA751C">
                                                      <w:pPr>
                                                        <w:spacing w:line="360" w:lineRule="auto"/>
                                                        <w:jc w:val="both"/>
                                                        <w:rPr>
                                                          <w:rFonts w:ascii="Arial" w:hAnsi="Arial" w:cs="Arial"/>
                                                          <w:b/>
                                                          <w:bCs/>
                                                          <w:i/>
                                                          <w:iCs/>
                                                          <w:color w:val="3B3838"/>
                                                          <w:sz w:val="21"/>
                                                          <w:szCs w:val="21"/>
                                                        </w:rPr>
                                                      </w:pPr>
                                                    </w:p>
                                                    <w:p w:rsidR="00FA751C" w:rsidRDefault="00FA751C">
                                                      <w:pPr>
                                                        <w:spacing w:line="360" w:lineRule="auto"/>
                                                        <w:jc w:val="both"/>
                                                        <w:rPr>
                                                          <w:rFonts w:ascii="Arial" w:hAnsi="Arial" w:cs="Arial"/>
                                                          <w:color w:val="3B3838"/>
                                                          <w:sz w:val="21"/>
                                                          <w:szCs w:val="21"/>
                                                        </w:rPr>
                                                      </w:pPr>
                                                      <w:r>
                                                        <w:rPr>
                                                          <w:rFonts w:ascii="Arial" w:hAnsi="Arial" w:cs="Arial"/>
                                                          <w:color w:val="3B3838"/>
                                                          <w:sz w:val="21"/>
                                                          <w:szCs w:val="21"/>
                                                        </w:rPr>
                                                        <w:t>« </w:t>
                                                      </w:r>
                                                      <w:r>
                                                        <w:rPr>
                                                          <w:rFonts w:ascii="Arial" w:hAnsi="Arial" w:cs="Arial"/>
                                                          <w:i/>
                                                          <w:iCs/>
                                                          <w:color w:val="3B3838"/>
                                                          <w:sz w:val="21"/>
                                                          <w:szCs w:val="21"/>
                                                        </w:rPr>
                                                        <w:t>Les défis auxquels nous sommes confrontés sont immenses. Toutefois la reprise est l’occasion de promouvoir un marché du travail plus équitable et inclusif. La stratégie en matière de compétences vise à faire en sorte que le droit à la formation et à l'apprentissage tout au long de la vie, inscrit dans le Socle européen des droits sociaux, devienne une réalité dans toute l'Europe. Les États membres doivent mettre les compétences au cœur de leurs politiques. Si nous voulons une reprise durable en sortie de pandémie, il faudra renforcer l’investissement dans les personnes et dans leurs compétences. Ainsi, chacun pourra tirer parti des nouvelles possibilités qui se présentent sur un marché du travail en évolution rapide</w:t>
                                                      </w:r>
                                                      <w:r>
                                                        <w:rPr>
                                                          <w:rFonts w:ascii="Arial" w:hAnsi="Arial" w:cs="Arial"/>
                                                          <w:color w:val="3B3838"/>
                                                          <w:sz w:val="21"/>
                                                          <w:szCs w:val="21"/>
                                                        </w:rPr>
                                                        <w:t xml:space="preserve"> » déclare </w:t>
                                                      </w:r>
                                                      <w:r>
                                                        <w:rPr>
                                                          <w:rFonts w:ascii="Arial" w:hAnsi="Arial" w:cs="Arial"/>
                                                          <w:b/>
                                                          <w:bCs/>
                                                          <w:color w:val="3B3838"/>
                                                          <w:sz w:val="21"/>
                                                          <w:szCs w:val="21"/>
                                                        </w:rPr>
                                                        <w:t xml:space="preserve">Nicolas </w:t>
                                                      </w:r>
                                                      <w:proofErr w:type="spellStart"/>
                                                      <w:r>
                                                        <w:rPr>
                                                          <w:rFonts w:ascii="Arial" w:hAnsi="Arial" w:cs="Arial"/>
                                                          <w:b/>
                                                          <w:bCs/>
                                                          <w:color w:val="3B3838"/>
                                                          <w:sz w:val="21"/>
                                                          <w:szCs w:val="21"/>
                                                        </w:rPr>
                                                        <w:t>Schmit</w:t>
                                                      </w:r>
                                                      <w:proofErr w:type="spellEnd"/>
                                                      <w:r>
                                                        <w:rPr>
                                                          <w:rFonts w:ascii="Arial" w:hAnsi="Arial" w:cs="Arial"/>
                                                          <w:b/>
                                                          <w:bCs/>
                                                          <w:color w:val="3B3838"/>
                                                          <w:sz w:val="21"/>
                                                          <w:szCs w:val="21"/>
                                                        </w:rPr>
                                                        <w:t>, commissaire européen à l’emploi et aux droits sociaux.</w:t>
                                                      </w:r>
                                                    </w:p>
                                                  </w:tc>
                                                </w:tr>
                                              </w:tbl>
                                              <w:p w:rsidR="00FA751C" w:rsidRDefault="00FA751C">
                                                <w:pPr>
                                                  <w:rPr>
                                                    <w:rFonts w:eastAsia="Times New Roman"/>
                                                    <w:sz w:val="20"/>
                                                    <w:szCs w:val="20"/>
                                                  </w:rPr>
                                                </w:pPr>
                                              </w:p>
                                            </w:tc>
                                          </w:tr>
                                        </w:tbl>
                                        <w:p w:rsidR="00FA751C" w:rsidRDefault="00FA751C">
                                          <w:pPr>
                                            <w:rPr>
                                              <w:rFonts w:eastAsia="Times New Roman"/>
                                              <w:sz w:val="20"/>
                                              <w:szCs w:val="20"/>
                                            </w:rPr>
                                          </w:pPr>
                                        </w:p>
                                      </w:tc>
                                    </w:tr>
                                  </w:tbl>
                                  <w:p w:rsidR="00FA751C" w:rsidRDefault="00FA751C">
                                    <w:pPr>
                                      <w:jc w:val="center"/>
                                      <w:rPr>
                                        <w:rFonts w:eastAsia="Times New Roman"/>
                                        <w:sz w:val="20"/>
                                        <w:szCs w:val="20"/>
                                      </w:rPr>
                                    </w:pPr>
                                  </w:p>
                                </w:tc>
                              </w:tr>
                            </w:tbl>
                            <w:p w:rsidR="00FA751C" w:rsidRDefault="00FA751C">
                              <w:pPr>
                                <w:jc w:val="center"/>
                                <w:rPr>
                                  <w:rFonts w:eastAsia="Times New Roman"/>
                                  <w:sz w:val="20"/>
                                  <w:szCs w:val="20"/>
                                </w:rPr>
                              </w:pPr>
                            </w:p>
                          </w:tc>
                          <w:tc>
                            <w:tcPr>
                              <w:tcW w:w="150" w:type="dxa"/>
                              <w:shd w:val="clear" w:color="auto" w:fill="FFFFFF"/>
                              <w:vAlign w:val="center"/>
                              <w:hideMark/>
                            </w:tcPr>
                            <w:p w:rsidR="00FA751C" w:rsidRDefault="00FA751C">
                              <w:pPr>
                                <w:rPr>
                                  <w:rFonts w:eastAsia="Times New Roman"/>
                                  <w:sz w:val="20"/>
                                  <w:szCs w:val="20"/>
                                </w:rPr>
                              </w:pPr>
                            </w:p>
                          </w:tc>
                        </w:tr>
                      </w:tbl>
                      <w:p w:rsidR="00FA751C" w:rsidRDefault="00FA751C">
                        <w:pPr>
                          <w:rPr>
                            <w:rFonts w:eastAsia="Times New Roman"/>
                            <w:sz w:val="20"/>
                            <w:szCs w:val="20"/>
                          </w:rPr>
                        </w:pPr>
                      </w:p>
                    </w:tc>
                  </w:tr>
                </w:tbl>
                <w:p w:rsidR="00FA751C" w:rsidRDefault="00FA751C"/>
                <w:tbl>
                  <w:tblPr>
                    <w:tblW w:w="5000" w:type="pct"/>
                    <w:tblCellMar>
                      <w:left w:w="0" w:type="dxa"/>
                      <w:right w:w="0" w:type="dxa"/>
                    </w:tblCellMar>
                    <w:tblLook w:val="04A0" w:firstRow="1" w:lastRow="0" w:firstColumn="1" w:lastColumn="0" w:noHBand="0" w:noVBand="1"/>
                  </w:tblPr>
                  <w:tblGrid>
                    <w:gridCol w:w="9072"/>
                  </w:tblGrid>
                  <w:tr w:rsidR="00FA751C">
                    <w:tc>
                      <w:tcPr>
                        <w:tcW w:w="0" w:type="auto"/>
                        <w:vAlign w:val="center"/>
                        <w:hideMark/>
                      </w:tcPr>
                      <w:tbl>
                        <w:tblPr>
                          <w:tblW w:w="0" w:type="auto"/>
                          <w:tblCellMar>
                            <w:left w:w="0" w:type="dxa"/>
                            <w:right w:w="0" w:type="dxa"/>
                          </w:tblCellMar>
                          <w:tblLook w:val="04A0" w:firstRow="1" w:lastRow="0" w:firstColumn="1" w:lastColumn="0" w:noHBand="0" w:noVBand="1"/>
                        </w:tblPr>
                        <w:tblGrid>
                          <w:gridCol w:w="122"/>
                          <w:gridCol w:w="8827"/>
                          <w:gridCol w:w="123"/>
                        </w:tblGrid>
                        <w:tr w:rsidR="00FA751C">
                          <w:tc>
                            <w:tcPr>
                              <w:tcW w:w="150" w:type="dxa"/>
                              <w:shd w:val="clear" w:color="auto" w:fill="FFFFFF"/>
                              <w:vAlign w:val="center"/>
                              <w:hideMark/>
                            </w:tcPr>
                            <w:p w:rsidR="00FA751C" w:rsidRDefault="00FA751C"/>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7"/>
                              </w:tblGrid>
                              <w:tr w:rsidR="00FA751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7"/>
                                      <w:gridCol w:w="3300"/>
                                    </w:tblGrid>
                                    <w:tr w:rsidR="00FA751C">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5527"/>
                                          </w:tblGrid>
                                          <w:tr w:rsidR="00FA751C">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7"/>
                                                </w:tblGrid>
                                                <w:tr w:rsidR="00FA751C">
                                                  <w:tc>
                                                    <w:tcPr>
                                                      <w:tcW w:w="0" w:type="auto"/>
                                                      <w:vAlign w:val="center"/>
                                                      <w:hideMark/>
                                                    </w:tcPr>
                                                    <w:p w:rsidR="00FA751C" w:rsidRDefault="00FA751C">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Contact presse :</w:t>
                                                      </w:r>
                                                    </w:p>
                                                    <w:p w:rsidR="00FA751C" w:rsidRDefault="00FA751C">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Ministère du Travail, de l'Emploi et de l'Insertion </w:t>
                                                      </w:r>
                                                    </w:p>
                                                    <w:p w:rsidR="00FA751C" w:rsidRDefault="00FA751C">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Cabinet d’Elisabeth Borne</w:t>
                                                      </w:r>
                                                    </w:p>
                                                    <w:p w:rsidR="00FA751C" w:rsidRDefault="00FA751C">
                                                      <w:pPr>
                                                        <w:pStyle w:val="NormalWeb"/>
                                                        <w:spacing w:before="0" w:beforeAutospacing="0" w:after="0" w:afterAutospacing="0" w:line="330" w:lineRule="exact"/>
                                                        <w:rPr>
                                                          <w:rFonts w:ascii="Arial" w:hAnsi="Arial" w:cs="Arial"/>
                                                          <w:color w:val="393939"/>
                                                          <w:sz w:val="26"/>
                                                          <w:szCs w:val="26"/>
                                                        </w:rPr>
                                                      </w:pPr>
                                                      <w:r>
                                                        <w:rPr>
                                                          <w:rFonts w:ascii="Arial" w:hAnsi="Arial" w:cs="Arial"/>
                                                          <w:color w:val="000000"/>
                                                          <w:sz w:val="18"/>
                                                          <w:szCs w:val="18"/>
                                                        </w:rPr>
                                                        <w:t>Tél : 01 49 55 32 21 </w:t>
                                                      </w:r>
                                                    </w:p>
                                                    <w:p w:rsidR="00FA751C" w:rsidRDefault="00FA751C">
                                                      <w:pPr>
                                                        <w:pStyle w:val="NormalWeb"/>
                                                        <w:spacing w:before="0" w:beforeAutospacing="0" w:after="0" w:afterAutospacing="0" w:line="330" w:lineRule="exact"/>
                                                        <w:rPr>
                                                          <w:rFonts w:ascii="Arial" w:hAnsi="Arial" w:cs="Arial"/>
                                                          <w:color w:val="393939"/>
                                                          <w:sz w:val="26"/>
                                                          <w:szCs w:val="26"/>
                                                        </w:rPr>
                                                      </w:pPr>
                                                      <w:r>
                                                        <w:rPr>
                                                          <w:rFonts w:ascii="Arial" w:hAnsi="Arial" w:cs="Arial"/>
                                                          <w:color w:val="000000"/>
                                                          <w:sz w:val="18"/>
                                                          <w:szCs w:val="18"/>
                                                        </w:rPr>
                                                        <w:t>Mél :</w:t>
                                                      </w:r>
                                                      <w:r>
                                                        <w:rPr>
                                                          <w:rFonts w:ascii="Arial" w:hAnsi="Arial" w:cs="Arial"/>
                                                          <w:color w:val="393939"/>
                                                          <w:sz w:val="18"/>
                                                          <w:szCs w:val="18"/>
                                                        </w:rPr>
                                                        <w:t xml:space="preserve"> </w:t>
                                                      </w:r>
                                                      <w:hyperlink r:id="rId9" w:history="1">
                                                        <w:r>
                                                          <w:rPr>
                                                            <w:rStyle w:val="Lienhypertexte"/>
                                                            <w:rFonts w:ascii="Arial" w:hAnsi="Arial" w:cs="Arial"/>
                                                            <w:sz w:val="18"/>
                                                            <w:szCs w:val="18"/>
                                                          </w:rPr>
                                                          <w:t>sec.presse.travail@cab.travail.gouv.fr</w:t>
                                                        </w:r>
                                                      </w:hyperlink>
                                                    </w:p>
                                                  </w:tc>
                                                </w:tr>
                                              </w:tbl>
                                              <w:p w:rsidR="00FA751C" w:rsidRDefault="00FA751C">
                                                <w:pPr>
                                                  <w:rPr>
                                                    <w:rFonts w:eastAsia="Times New Roman"/>
                                                    <w:sz w:val="20"/>
                                                    <w:szCs w:val="20"/>
                                                  </w:rPr>
                                                </w:pPr>
                                              </w:p>
                                            </w:tc>
                                          </w:tr>
                                        </w:tbl>
                                        <w:p w:rsidR="00FA751C" w:rsidRDefault="00FA751C">
                                          <w:pPr>
                                            <w:rPr>
                                              <w:rFonts w:eastAsia="Times New Roman"/>
                                              <w:sz w:val="20"/>
                                              <w:szCs w:val="20"/>
                                            </w:rPr>
                                          </w:pPr>
                                        </w:p>
                                      </w:tc>
                                      <w:tc>
                                        <w:tcPr>
                                          <w:tcW w:w="1850" w:type="pct"/>
                                          <w:hideMark/>
                                        </w:tcPr>
                                        <w:tbl>
                                          <w:tblPr>
                                            <w:tblW w:w="5000" w:type="pct"/>
                                            <w:tblCellMar>
                                              <w:left w:w="0" w:type="dxa"/>
                                              <w:right w:w="0" w:type="dxa"/>
                                            </w:tblCellMar>
                                            <w:tblLook w:val="04A0" w:firstRow="1" w:lastRow="0" w:firstColumn="1" w:lastColumn="0" w:noHBand="0" w:noVBand="1"/>
                                          </w:tblPr>
                                          <w:tblGrid>
                                            <w:gridCol w:w="3300"/>
                                          </w:tblGrid>
                                          <w:tr w:rsidR="00FA751C">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0"/>
                                                </w:tblGrid>
                                                <w:tr w:rsidR="00FA751C">
                                                  <w:trPr>
                                                    <w:trHeight w:val="960"/>
                                                    <w:jc w:val="center"/>
                                                  </w:trPr>
                                                  <w:tc>
                                                    <w:tcPr>
                                                      <w:tcW w:w="0" w:type="auto"/>
                                                      <w:vAlign w:val="center"/>
                                                      <w:hideMark/>
                                                    </w:tcPr>
                                                    <w:p w:rsidR="00FA751C" w:rsidRDefault="00FA751C">
                                                      <w:pPr>
                                                        <w:spacing w:line="960" w:lineRule="exact"/>
                                                        <w:rPr>
                                                          <w:sz w:val="96"/>
                                                          <w:szCs w:val="96"/>
                                                        </w:rPr>
                                                      </w:pPr>
                                                      <w:r>
                                                        <w:rPr>
                                                          <w:sz w:val="96"/>
                                                          <w:szCs w:val="96"/>
                                                        </w:rPr>
                                                        <w:t xml:space="preserve">  </w:t>
                                                      </w:r>
                                                    </w:p>
                                                  </w:tc>
                                                </w:tr>
                                              </w:tbl>
                                              <w:tbl>
                                                <w:tblPr>
                                                  <w:tblpPr w:vertAnchor="text"/>
                                                  <w:tblW w:w="5000" w:type="pct"/>
                                                  <w:tblCellMar>
                                                    <w:left w:w="0" w:type="dxa"/>
                                                    <w:right w:w="0" w:type="dxa"/>
                                                  </w:tblCellMar>
                                                  <w:tblLook w:val="04A0" w:firstRow="1" w:lastRow="0" w:firstColumn="1" w:lastColumn="0" w:noHBand="0" w:noVBand="1"/>
                                                </w:tblPr>
                                                <w:tblGrid>
                                                  <w:gridCol w:w="2700"/>
                                                </w:tblGrid>
                                                <w:tr w:rsidR="00FA751C">
                                                  <w:tc>
                                                    <w:tcPr>
                                                      <w:tcW w:w="0" w:type="auto"/>
                                                      <w:vAlign w:val="center"/>
                                                      <w:hideMark/>
                                                    </w:tcPr>
                                                    <w:p w:rsidR="00FA751C" w:rsidRDefault="00FA751C">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127, rue de Grenelle</w:t>
                                                      </w:r>
                                                    </w:p>
                                                    <w:p w:rsidR="00FA751C" w:rsidRDefault="00FA751C">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75007 PARIS</w:t>
                                                      </w:r>
                                                    </w:p>
                                                  </w:tc>
                                                </w:tr>
                                              </w:tbl>
                                              <w:p w:rsidR="00FA751C" w:rsidRDefault="00FA751C">
                                                <w:pPr>
                                                  <w:rPr>
                                                    <w:rFonts w:eastAsia="Times New Roman"/>
                                                    <w:sz w:val="20"/>
                                                    <w:szCs w:val="20"/>
                                                  </w:rPr>
                                                </w:pPr>
                                              </w:p>
                                            </w:tc>
                                          </w:tr>
                                        </w:tbl>
                                        <w:p w:rsidR="00FA751C" w:rsidRDefault="00FA751C">
                                          <w:pPr>
                                            <w:rPr>
                                              <w:rFonts w:eastAsia="Times New Roman"/>
                                              <w:sz w:val="20"/>
                                              <w:szCs w:val="20"/>
                                            </w:rPr>
                                          </w:pPr>
                                        </w:p>
                                      </w:tc>
                                    </w:tr>
                                  </w:tbl>
                                  <w:p w:rsidR="00FA751C" w:rsidRDefault="00FA751C">
                                    <w:pPr>
                                      <w:jc w:val="center"/>
                                      <w:rPr>
                                        <w:rFonts w:eastAsia="Times New Roman"/>
                                        <w:sz w:val="20"/>
                                        <w:szCs w:val="20"/>
                                      </w:rPr>
                                    </w:pPr>
                                  </w:p>
                                </w:tc>
                              </w:tr>
                            </w:tbl>
                            <w:p w:rsidR="00FA751C" w:rsidRDefault="00FA751C">
                              <w:pPr>
                                <w:jc w:val="center"/>
                                <w:rPr>
                                  <w:rFonts w:eastAsia="Times New Roman"/>
                                  <w:sz w:val="20"/>
                                  <w:szCs w:val="20"/>
                                </w:rPr>
                              </w:pPr>
                            </w:p>
                          </w:tc>
                          <w:tc>
                            <w:tcPr>
                              <w:tcW w:w="150" w:type="dxa"/>
                              <w:shd w:val="clear" w:color="auto" w:fill="FFFFFF"/>
                              <w:vAlign w:val="center"/>
                              <w:hideMark/>
                            </w:tcPr>
                            <w:p w:rsidR="00FA751C" w:rsidRDefault="00FA751C">
                              <w:pPr>
                                <w:rPr>
                                  <w:rFonts w:eastAsia="Times New Roman"/>
                                  <w:sz w:val="20"/>
                                  <w:szCs w:val="20"/>
                                </w:rPr>
                              </w:pPr>
                            </w:p>
                          </w:tc>
                        </w:tr>
                      </w:tbl>
                      <w:p w:rsidR="00FA751C" w:rsidRDefault="00FA751C">
                        <w:pPr>
                          <w:rPr>
                            <w:rFonts w:eastAsia="Times New Roman"/>
                            <w:sz w:val="20"/>
                            <w:szCs w:val="20"/>
                          </w:rPr>
                        </w:pPr>
                      </w:p>
                    </w:tc>
                  </w:tr>
                  <w:tr w:rsidR="00FA751C">
                    <w:tc>
                      <w:tcPr>
                        <w:tcW w:w="0" w:type="auto"/>
                        <w:vAlign w:val="center"/>
                      </w:tcPr>
                      <w:tbl>
                        <w:tblPr>
                          <w:tblW w:w="0" w:type="auto"/>
                          <w:tblCellMar>
                            <w:left w:w="0" w:type="dxa"/>
                            <w:right w:w="0" w:type="dxa"/>
                          </w:tblCellMar>
                          <w:tblLook w:val="04A0" w:firstRow="1" w:lastRow="0" w:firstColumn="1" w:lastColumn="0" w:noHBand="0" w:noVBand="1"/>
                        </w:tblPr>
                        <w:tblGrid>
                          <w:gridCol w:w="132"/>
                          <w:gridCol w:w="8809"/>
                          <w:gridCol w:w="131"/>
                        </w:tblGrid>
                        <w:tr w:rsidR="00FA751C">
                          <w:tc>
                            <w:tcPr>
                              <w:tcW w:w="150" w:type="dxa"/>
                              <w:shd w:val="clear" w:color="auto" w:fill="FFFFFF"/>
                              <w:vAlign w:val="center"/>
                              <w:hideMark/>
                            </w:tcPr>
                            <w:p w:rsidR="00FA751C" w:rsidRDefault="00FA751C">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FA751C">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FA751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9"/>
                                          </w:tblGrid>
                                          <w:tr w:rsidR="00FA751C">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9"/>
                                                </w:tblGrid>
                                                <w:tr w:rsidR="00FA751C">
                                                  <w:tc>
                                                    <w:tcPr>
                                                      <w:tcW w:w="0" w:type="auto"/>
                                                      <w:vAlign w:val="center"/>
                                                      <w:hideMark/>
                                                    </w:tcPr>
                                                    <w:p w:rsidR="00FA751C" w:rsidRDefault="00FA751C">
                                                      <w:pPr>
                                                        <w:pStyle w:val="NormalWeb"/>
                                                        <w:spacing w:before="0" w:beforeAutospacing="0" w:after="0" w:afterAutospacing="0" w:line="225" w:lineRule="exact"/>
                                                        <w:jc w:val="center"/>
                                                        <w:rPr>
                                                          <w:rFonts w:ascii="Arial" w:hAnsi="Arial" w:cs="Arial"/>
                                                          <w:color w:val="393939"/>
                                                          <w:sz w:val="26"/>
                                                          <w:szCs w:val="26"/>
                                                        </w:rPr>
                                                      </w:pPr>
                                                      <w:r>
                                                        <w:rPr>
                                                          <w:rFonts w:ascii="Arial" w:hAnsi="Arial" w:cs="Arial"/>
                                                          <w:color w:val="000000"/>
                                                          <w:sz w:val="17"/>
                                                          <w:szCs w:val="17"/>
                                                        </w:rPr>
                                                        <w:t xml:space="preserve">Conformément à la loi informatique et libertés du 06/01/1978 (art.27) et au Règlement Général sur la Protection des Données (Règlement UE 2016/679) ou « RGPD », vous disposez d'un droit d'accès et </w:t>
                                                      </w:r>
                                                      <w:r>
                                                        <w:rPr>
                                                          <w:rFonts w:ascii="Arial" w:hAnsi="Arial" w:cs="Arial"/>
                                                          <w:color w:val="000000"/>
                                                          <w:sz w:val="17"/>
                                                          <w:szCs w:val="17"/>
                                                        </w:rPr>
                                                        <w:lastRenderedPageBreak/>
                                                        <w:t>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10" w:tgtFrame="_blank" w:history="1">
                                                        <w:r>
                                                          <w:rPr>
                                                            <w:rStyle w:val="Lienhypertexte"/>
                                                            <w:rFonts w:ascii="Arial" w:hAnsi="Arial" w:cs="Arial"/>
                                                            <w:color w:val="0595D6"/>
                                                            <w:sz w:val="17"/>
                                                            <w:szCs w:val="17"/>
                                                          </w:rPr>
                                                          <w:t>DDC-RGPD-CAB@ddc.social.gouv.fr</w:t>
                                                        </w:r>
                                                      </w:hyperlink>
                                                      <w:r>
                                                        <w:rPr>
                                                          <w:rFonts w:ascii="Arial" w:hAnsi="Arial" w:cs="Arial"/>
                                                          <w:color w:val="393939"/>
                                                          <w:sz w:val="17"/>
                                                          <w:szCs w:val="17"/>
                                                        </w:rPr>
                                                        <w:t>.</w:t>
                                                      </w:r>
                                                    </w:p>
                                                  </w:tc>
                                                </w:tr>
                                              </w:tbl>
                                              <w:p w:rsidR="00FA751C" w:rsidRDefault="00FA751C">
                                                <w:pPr>
                                                  <w:rPr>
                                                    <w:rFonts w:eastAsia="Times New Roman"/>
                                                    <w:sz w:val="20"/>
                                                    <w:szCs w:val="20"/>
                                                  </w:rPr>
                                                </w:pPr>
                                              </w:p>
                                            </w:tc>
                                          </w:tr>
                                        </w:tbl>
                                        <w:p w:rsidR="00FA751C" w:rsidRDefault="00FA751C">
                                          <w:pPr>
                                            <w:rPr>
                                              <w:rFonts w:eastAsia="Times New Roman"/>
                                              <w:sz w:val="20"/>
                                              <w:szCs w:val="20"/>
                                            </w:rPr>
                                          </w:pPr>
                                        </w:p>
                                      </w:tc>
                                    </w:tr>
                                  </w:tbl>
                                  <w:p w:rsidR="00FA751C" w:rsidRDefault="00FA751C">
                                    <w:pPr>
                                      <w:jc w:val="center"/>
                                      <w:rPr>
                                        <w:rFonts w:eastAsia="Times New Roman"/>
                                        <w:sz w:val="20"/>
                                        <w:szCs w:val="20"/>
                                      </w:rPr>
                                    </w:pPr>
                                  </w:p>
                                </w:tc>
                              </w:tr>
                            </w:tbl>
                            <w:p w:rsidR="00FA751C" w:rsidRDefault="00FA751C">
                              <w:pPr>
                                <w:jc w:val="center"/>
                                <w:rPr>
                                  <w:rFonts w:eastAsia="Times New Roman"/>
                                  <w:sz w:val="20"/>
                                  <w:szCs w:val="20"/>
                                </w:rPr>
                              </w:pPr>
                            </w:p>
                          </w:tc>
                          <w:tc>
                            <w:tcPr>
                              <w:tcW w:w="150" w:type="dxa"/>
                              <w:shd w:val="clear" w:color="auto" w:fill="FFFFFF"/>
                              <w:vAlign w:val="center"/>
                              <w:hideMark/>
                            </w:tcPr>
                            <w:p w:rsidR="00FA751C" w:rsidRDefault="00FA751C">
                              <w:pPr>
                                <w:rPr>
                                  <w:rFonts w:eastAsia="Times New Roman"/>
                                  <w:sz w:val="20"/>
                                  <w:szCs w:val="20"/>
                                </w:rPr>
                              </w:pPr>
                            </w:p>
                          </w:tc>
                        </w:tr>
                      </w:tbl>
                      <w:p w:rsidR="00FA751C" w:rsidRDefault="00FA751C">
                        <w:pPr>
                          <w:rPr>
                            <w:vanish/>
                          </w:rPr>
                        </w:pPr>
                      </w:p>
                      <w:tbl>
                        <w:tblPr>
                          <w:tblW w:w="5000" w:type="pct"/>
                          <w:tblCellMar>
                            <w:left w:w="0" w:type="dxa"/>
                            <w:right w:w="0" w:type="dxa"/>
                          </w:tblCellMar>
                          <w:tblLook w:val="04A0" w:firstRow="1" w:lastRow="0" w:firstColumn="1" w:lastColumn="0" w:noHBand="0" w:noVBand="1"/>
                        </w:tblPr>
                        <w:tblGrid>
                          <w:gridCol w:w="9072"/>
                        </w:tblGrid>
                        <w:tr w:rsidR="00FA751C">
                          <w:trPr>
                            <w:trHeight w:val="150"/>
                          </w:trPr>
                          <w:tc>
                            <w:tcPr>
                              <w:tcW w:w="9750" w:type="dxa"/>
                              <w:shd w:val="clear" w:color="auto" w:fill="FFFFFF"/>
                              <w:tcMar>
                                <w:top w:w="0" w:type="dxa"/>
                                <w:left w:w="150" w:type="dxa"/>
                                <w:bottom w:w="0" w:type="dxa"/>
                                <w:right w:w="150" w:type="dxa"/>
                              </w:tcMar>
                              <w:vAlign w:val="center"/>
                              <w:hideMark/>
                            </w:tcPr>
                            <w:p w:rsidR="00FA751C" w:rsidRDefault="00FA751C">
                              <w:pPr>
                                <w:spacing w:line="150" w:lineRule="exact"/>
                                <w:rPr>
                                  <w:sz w:val="15"/>
                                  <w:szCs w:val="15"/>
                                </w:rPr>
                              </w:pPr>
                              <w:r>
                                <w:rPr>
                                  <w:sz w:val="15"/>
                                  <w:szCs w:val="15"/>
                                </w:rPr>
                                <w:t xml:space="preserve">  </w:t>
                              </w:r>
                            </w:p>
                          </w:tc>
                        </w:tr>
                      </w:tbl>
                      <w:p w:rsidR="00FA751C" w:rsidRDefault="00FA751C">
                        <w:pPr>
                          <w:rPr>
                            <w:sz w:val="20"/>
                            <w:szCs w:val="20"/>
                          </w:rPr>
                        </w:pPr>
                      </w:p>
                    </w:tc>
                  </w:tr>
                </w:tbl>
                <w:p w:rsidR="00FA751C" w:rsidRDefault="00FA751C"/>
                <w:tbl>
                  <w:tblPr>
                    <w:tblW w:w="5000" w:type="pct"/>
                    <w:shd w:val="clear" w:color="auto" w:fill="FFFFFF"/>
                    <w:tblCellMar>
                      <w:left w:w="0" w:type="dxa"/>
                      <w:right w:w="0" w:type="dxa"/>
                    </w:tblCellMar>
                    <w:tblLook w:val="04A0" w:firstRow="1" w:lastRow="0" w:firstColumn="1" w:lastColumn="0" w:noHBand="0" w:noVBand="1"/>
                  </w:tblPr>
                  <w:tblGrid>
                    <w:gridCol w:w="9072"/>
                  </w:tblGrid>
                  <w:tr w:rsidR="00FA751C">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FA751C">
                          <w:tc>
                            <w:tcPr>
                              <w:tcW w:w="150" w:type="dxa"/>
                              <w:vAlign w:val="center"/>
                              <w:hideMark/>
                            </w:tcPr>
                            <w:p w:rsidR="00FA751C" w:rsidRDefault="00FA751C"/>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FA751C">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FA751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FA751C">
                                            <w:tc>
                                              <w:tcPr>
                                                <w:tcW w:w="0" w:type="auto"/>
                                                <w:tcMar>
                                                  <w:top w:w="300" w:type="dxa"/>
                                                  <w:left w:w="300" w:type="dxa"/>
                                                  <w:bottom w:w="300" w:type="dxa"/>
                                                  <w:right w:w="300" w:type="dxa"/>
                                                </w:tcMar>
                                                <w:vAlign w:val="center"/>
                                                <w:hideMark/>
                                              </w:tcPr>
                                              <w:p w:rsidR="00FA751C" w:rsidRDefault="00FA751C">
                                                <w:pPr>
                                                  <w:rPr>
                                                    <w:rFonts w:eastAsia="Times New Roman"/>
                                                    <w:sz w:val="20"/>
                                                    <w:szCs w:val="20"/>
                                                  </w:rPr>
                                                </w:pPr>
                                              </w:p>
                                            </w:tc>
                                          </w:tr>
                                        </w:tbl>
                                        <w:p w:rsidR="00FA751C" w:rsidRDefault="00FA751C">
                                          <w:pPr>
                                            <w:rPr>
                                              <w:rFonts w:eastAsia="Times New Roman"/>
                                              <w:sz w:val="20"/>
                                              <w:szCs w:val="20"/>
                                            </w:rPr>
                                          </w:pPr>
                                        </w:p>
                                      </w:tc>
                                    </w:tr>
                                  </w:tbl>
                                  <w:p w:rsidR="00FA751C" w:rsidRDefault="00FA751C">
                                    <w:pPr>
                                      <w:jc w:val="center"/>
                                      <w:rPr>
                                        <w:rFonts w:eastAsia="Times New Roman"/>
                                        <w:sz w:val="20"/>
                                        <w:szCs w:val="20"/>
                                      </w:rPr>
                                    </w:pPr>
                                  </w:p>
                                </w:tc>
                              </w:tr>
                            </w:tbl>
                            <w:p w:rsidR="00FA751C" w:rsidRDefault="00FA751C">
                              <w:pPr>
                                <w:jc w:val="center"/>
                                <w:rPr>
                                  <w:rFonts w:eastAsia="Times New Roman"/>
                                  <w:sz w:val="20"/>
                                  <w:szCs w:val="20"/>
                                </w:rPr>
                              </w:pPr>
                            </w:p>
                          </w:tc>
                          <w:tc>
                            <w:tcPr>
                              <w:tcW w:w="150" w:type="dxa"/>
                              <w:vAlign w:val="center"/>
                              <w:hideMark/>
                            </w:tcPr>
                            <w:p w:rsidR="00FA751C" w:rsidRDefault="00FA751C">
                              <w:pPr>
                                <w:rPr>
                                  <w:rFonts w:eastAsia="Times New Roman"/>
                                  <w:sz w:val="20"/>
                                  <w:szCs w:val="20"/>
                                </w:rPr>
                              </w:pPr>
                            </w:p>
                          </w:tc>
                        </w:tr>
                      </w:tbl>
                      <w:p w:rsidR="00FA751C" w:rsidRDefault="00FA751C">
                        <w:pPr>
                          <w:rPr>
                            <w:rFonts w:eastAsia="Times New Roman"/>
                            <w:sz w:val="20"/>
                            <w:szCs w:val="20"/>
                          </w:rPr>
                        </w:pPr>
                      </w:p>
                    </w:tc>
                  </w:tr>
                </w:tbl>
                <w:p w:rsidR="00FA751C" w:rsidRDefault="00FA751C">
                  <w:pPr>
                    <w:rPr>
                      <w:sz w:val="20"/>
                      <w:szCs w:val="20"/>
                    </w:rPr>
                  </w:pPr>
                </w:p>
              </w:tc>
            </w:tr>
          </w:tbl>
          <w:p w:rsidR="00FA751C" w:rsidRDefault="00FA751C">
            <w:pPr>
              <w:jc w:val="center"/>
              <w:rPr>
                <w:rFonts w:eastAsia="Times New Roman"/>
                <w:sz w:val="20"/>
                <w:szCs w:val="20"/>
              </w:rPr>
            </w:pPr>
          </w:p>
        </w:tc>
      </w:tr>
    </w:tbl>
    <w:p w:rsidR="005F6368" w:rsidRDefault="005F6368"/>
    <w:sectPr w:rsidR="005F6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85"/>
    <w:rsid w:val="005F6368"/>
    <w:rsid w:val="009F0B85"/>
    <w:rsid w:val="00E724C9"/>
    <w:rsid w:val="00FA7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844C"/>
  <w15:chartTrackingRefBased/>
  <w15:docId w15:val="{00C7855F-CC04-4430-8326-B712CBE4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51C"/>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A751C"/>
    <w:rPr>
      <w:color w:val="0000FF"/>
      <w:u w:val="single"/>
    </w:rPr>
  </w:style>
  <w:style w:type="paragraph" w:styleId="NormalWeb">
    <w:name w:val="Normal (Web)"/>
    <w:basedOn w:val="Normal"/>
    <w:uiPriority w:val="99"/>
    <w:semiHidden/>
    <w:unhideWhenUsed/>
    <w:rsid w:val="00FA751C"/>
    <w:pPr>
      <w:spacing w:before="100" w:beforeAutospacing="1" w:after="100" w:afterAutospacing="1"/>
    </w:pPr>
  </w:style>
  <w:style w:type="character" w:styleId="lev">
    <w:name w:val="Strong"/>
    <w:basedOn w:val="Policepardfaut"/>
    <w:uiPriority w:val="22"/>
    <w:qFormat/>
    <w:rsid w:val="00FA7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factsheets/fr/sheet/214/fonds-pour-une-transition-juste-ftj-" TargetMode="External"/><Relationship Id="rId3" Type="http://schemas.openxmlformats.org/officeDocument/2006/relationships/webSettings" Target="webSettings.xml"/><Relationship Id="rId7" Type="http://schemas.openxmlformats.org/officeDocument/2006/relationships/hyperlink" Target="https://ec.europa.eu/social/main.jsp?langId=fr&amp;catId=12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822A9.8A6D0E90"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DDC-RGPD-CAB@ddc.social.gouv.fr" TargetMode="External"/><Relationship Id="rId4" Type="http://schemas.openxmlformats.org/officeDocument/2006/relationships/image" Target="media/image1.png"/><Relationship Id="rId9" Type="http://schemas.openxmlformats.org/officeDocument/2006/relationships/hyperlink" Target="mailto:sec.presse.travail@cab.travail.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1301</Words>
  <Characters>7161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BOILLEY, Léna (CAB/TRAVAIL)</dc:creator>
  <cp:keywords/>
  <dc:description/>
  <cp:lastModifiedBy>BOILLEY, Léna (CAB/TRAVAIL)</cp:lastModifiedBy>
  <cp:revision>1</cp:revision>
  <dcterms:created xsi:type="dcterms:W3CDTF">2022-02-15T10:06:00Z</dcterms:created>
  <dcterms:modified xsi:type="dcterms:W3CDTF">2022-02-15T19:42:00Z</dcterms:modified>
</cp:coreProperties>
</file>