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pStyle w:val="BodyText"/>
        <w:ind w:left="160"/>
        <w:rPr>
          <w:rFonts w:ascii="Times New Roman"/>
          <w:sz w:val="20"/>
        </w:rPr>
      </w:pPr>
      <w:r>
        <w:rPr>
          <w:rFonts w:ascii="Times New Roman"/>
          <w:sz w:val="20"/>
        </w:rPr>
        <w:drawing>
          <wp:inline distT="0" distB="0" distL="0" distR="0">
            <wp:extent cx="1437848" cy="1162050"/>
            <wp:effectExtent l="0" t="0" r="0" b="0"/>
            <wp:docPr id="1" name="image1.jpeg" descr="cid:image001.png@01D6F975.0B265640"/>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37848" cy="116205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p>
      <w:pPr>
        <w:pStyle w:val="Heading1"/>
        <w:spacing w:before="92"/>
        <w:ind w:left="3225" w:right="3111"/>
        <w:jc w:val="center"/>
      </w:pPr>
      <w:r>
        <w:rPr/>
        <w:t>COMMUNIQUE DE PRESSE</w:t>
      </w:r>
    </w:p>
    <w:p>
      <w:pPr>
        <w:pStyle w:val="BodyText"/>
        <w:rPr>
          <w:b/>
          <w:sz w:val="20"/>
        </w:rPr>
      </w:pPr>
    </w:p>
    <w:p>
      <w:pPr>
        <w:pStyle w:val="BodyText"/>
        <w:rPr>
          <w:b/>
          <w:sz w:val="20"/>
        </w:rPr>
      </w:pPr>
    </w:p>
    <w:p>
      <w:pPr>
        <w:pStyle w:val="BodyText"/>
        <w:rPr>
          <w:b/>
          <w:sz w:val="20"/>
        </w:rPr>
      </w:pPr>
    </w:p>
    <w:p>
      <w:pPr>
        <w:pStyle w:val="BodyText"/>
        <w:spacing w:before="2"/>
        <w:rPr>
          <w:b/>
          <w:sz w:val="27"/>
        </w:rPr>
      </w:pPr>
    </w:p>
    <w:p>
      <w:pPr>
        <w:spacing w:before="94"/>
        <w:ind w:left="0" w:right="116" w:firstLine="0"/>
        <w:jc w:val="right"/>
        <w:rPr>
          <w:sz w:val="18"/>
        </w:rPr>
      </w:pPr>
      <w:r>
        <w:rPr>
          <w:sz w:val="18"/>
        </w:rPr>
        <w:t>Paris, le 2 février 2021</w:t>
      </w:r>
    </w:p>
    <w:p>
      <w:pPr>
        <w:pStyle w:val="BodyText"/>
        <w:rPr>
          <w:sz w:val="20"/>
        </w:rPr>
      </w:pPr>
    </w:p>
    <w:p>
      <w:pPr>
        <w:pStyle w:val="BodyText"/>
        <w:rPr>
          <w:sz w:val="20"/>
        </w:rPr>
      </w:pPr>
    </w:p>
    <w:p>
      <w:pPr>
        <w:pStyle w:val="BodyText"/>
        <w:spacing w:before="5"/>
        <w:rPr>
          <w:sz w:val="17"/>
        </w:rPr>
      </w:pPr>
    </w:p>
    <w:p>
      <w:pPr>
        <w:pStyle w:val="Heading1"/>
      </w:pPr>
      <w:r>
        <w:rPr>
          <w:color w:val="393939"/>
        </w:rPr>
        <w:t>Réunion avec les partenaires sociaux sur la Covid-19 :</w:t>
      </w:r>
    </w:p>
    <w:p>
      <w:pPr>
        <w:spacing w:before="15"/>
        <w:ind w:left="235" w:right="0" w:firstLine="0"/>
        <w:jc w:val="left"/>
        <w:rPr>
          <w:b/>
          <w:sz w:val="24"/>
        </w:rPr>
      </w:pPr>
      <w:r>
        <w:rPr>
          <w:b/>
          <w:color w:val="393939"/>
          <w:sz w:val="24"/>
        </w:rPr>
        <w:t>Le télétravail reste la règle pour toutes les activités qui le permettent.</w:t>
      </w:r>
    </w:p>
    <w:p>
      <w:pPr>
        <w:pStyle w:val="BodyText"/>
        <w:rPr>
          <w:b/>
          <w:sz w:val="26"/>
        </w:rPr>
      </w:pPr>
    </w:p>
    <w:p>
      <w:pPr>
        <w:pStyle w:val="BodyText"/>
        <w:spacing w:before="6"/>
        <w:rPr>
          <w:b/>
          <w:sz w:val="29"/>
        </w:rPr>
      </w:pPr>
    </w:p>
    <w:p>
      <w:pPr>
        <w:spacing w:line="252" w:lineRule="auto" w:before="0"/>
        <w:ind w:left="235" w:right="115" w:firstLine="0"/>
        <w:jc w:val="both"/>
        <w:rPr>
          <w:b/>
          <w:sz w:val="24"/>
        </w:rPr>
      </w:pPr>
      <w:r>
        <w:rPr>
          <w:b/>
          <w:sz w:val="24"/>
        </w:rPr>
        <w:t>Suite aux annonces du Premier ministre vendredi soir, Elisabeth Borne,</w:t>
      </w:r>
      <w:r>
        <w:rPr>
          <w:b/>
          <w:spacing w:val="-48"/>
          <w:sz w:val="24"/>
        </w:rPr>
        <w:t> </w:t>
      </w:r>
      <w:r>
        <w:rPr>
          <w:b/>
          <w:sz w:val="24"/>
        </w:rPr>
        <w:t>ministre du</w:t>
      </w:r>
      <w:r>
        <w:rPr>
          <w:b/>
          <w:spacing w:val="-13"/>
          <w:sz w:val="24"/>
        </w:rPr>
        <w:t> </w:t>
      </w:r>
      <w:r>
        <w:rPr>
          <w:b/>
          <w:sz w:val="24"/>
        </w:rPr>
        <w:t>Travail,</w:t>
      </w:r>
      <w:r>
        <w:rPr>
          <w:b/>
          <w:spacing w:val="-11"/>
          <w:sz w:val="24"/>
        </w:rPr>
        <w:t> </w:t>
      </w:r>
      <w:r>
        <w:rPr>
          <w:b/>
          <w:sz w:val="24"/>
        </w:rPr>
        <w:t>de</w:t>
      </w:r>
      <w:r>
        <w:rPr>
          <w:b/>
          <w:spacing w:val="-12"/>
          <w:sz w:val="24"/>
        </w:rPr>
        <w:t> </w:t>
      </w:r>
      <w:r>
        <w:rPr>
          <w:b/>
          <w:sz w:val="24"/>
        </w:rPr>
        <w:t>l’Emploi</w:t>
      </w:r>
      <w:r>
        <w:rPr>
          <w:b/>
          <w:spacing w:val="-11"/>
          <w:sz w:val="24"/>
        </w:rPr>
        <w:t> </w:t>
      </w:r>
      <w:r>
        <w:rPr>
          <w:b/>
          <w:sz w:val="24"/>
        </w:rPr>
        <w:t>et</w:t>
      </w:r>
      <w:r>
        <w:rPr>
          <w:b/>
          <w:spacing w:val="-13"/>
          <w:sz w:val="24"/>
        </w:rPr>
        <w:t> </w:t>
      </w:r>
      <w:r>
        <w:rPr>
          <w:b/>
          <w:sz w:val="24"/>
        </w:rPr>
        <w:t>de</w:t>
      </w:r>
      <w:r>
        <w:rPr>
          <w:b/>
          <w:spacing w:val="-13"/>
          <w:sz w:val="24"/>
        </w:rPr>
        <w:t> </w:t>
      </w:r>
      <w:r>
        <w:rPr>
          <w:b/>
          <w:sz w:val="24"/>
        </w:rPr>
        <w:t>l’Insertion</w:t>
      </w:r>
      <w:r>
        <w:rPr>
          <w:b/>
          <w:spacing w:val="-12"/>
          <w:sz w:val="24"/>
        </w:rPr>
        <w:t> </w:t>
      </w:r>
      <w:r>
        <w:rPr>
          <w:b/>
          <w:sz w:val="24"/>
        </w:rPr>
        <w:t>et</w:t>
      </w:r>
      <w:r>
        <w:rPr>
          <w:b/>
          <w:spacing w:val="-13"/>
          <w:sz w:val="24"/>
        </w:rPr>
        <w:t> </w:t>
      </w:r>
      <w:r>
        <w:rPr>
          <w:b/>
          <w:sz w:val="24"/>
        </w:rPr>
        <w:t>Laurent</w:t>
      </w:r>
      <w:r>
        <w:rPr>
          <w:b/>
          <w:spacing w:val="-12"/>
          <w:sz w:val="24"/>
        </w:rPr>
        <w:t> </w:t>
      </w:r>
      <w:r>
        <w:rPr>
          <w:b/>
          <w:sz w:val="24"/>
        </w:rPr>
        <w:t>Pietraszewski,</w:t>
      </w:r>
      <w:r>
        <w:rPr>
          <w:b/>
          <w:spacing w:val="-13"/>
          <w:sz w:val="24"/>
        </w:rPr>
        <w:t> </w:t>
      </w:r>
      <w:r>
        <w:rPr>
          <w:b/>
          <w:sz w:val="24"/>
        </w:rPr>
        <w:t>secrétaire</w:t>
      </w:r>
      <w:r>
        <w:rPr>
          <w:b/>
          <w:spacing w:val="-12"/>
          <w:sz w:val="24"/>
        </w:rPr>
        <w:t> </w:t>
      </w:r>
      <w:r>
        <w:rPr>
          <w:b/>
          <w:sz w:val="24"/>
        </w:rPr>
        <w:t>d’Etat chargé des Retraites et de la Santé au travail ont réuni les partenaires sociaux hier soir en visioconférence pour faire le point sur le protocole sanitaire en entreprise et l’application des règles relatives au télétravail. Ils ont rappelé la nécessité</w:t>
      </w:r>
      <w:r>
        <w:rPr>
          <w:b/>
          <w:spacing w:val="-15"/>
          <w:sz w:val="24"/>
        </w:rPr>
        <w:t> </w:t>
      </w:r>
      <w:r>
        <w:rPr>
          <w:b/>
          <w:sz w:val="24"/>
        </w:rPr>
        <w:t>d’une</w:t>
      </w:r>
      <w:r>
        <w:rPr>
          <w:b/>
          <w:spacing w:val="-14"/>
          <w:sz w:val="24"/>
        </w:rPr>
        <w:t> </w:t>
      </w:r>
      <w:r>
        <w:rPr>
          <w:b/>
          <w:sz w:val="24"/>
        </w:rPr>
        <w:t>mobilisation</w:t>
      </w:r>
      <w:r>
        <w:rPr>
          <w:b/>
          <w:spacing w:val="-15"/>
          <w:sz w:val="24"/>
        </w:rPr>
        <w:t> </w:t>
      </w:r>
      <w:r>
        <w:rPr>
          <w:b/>
          <w:sz w:val="24"/>
        </w:rPr>
        <w:t>collective</w:t>
      </w:r>
      <w:r>
        <w:rPr>
          <w:b/>
          <w:spacing w:val="-14"/>
          <w:sz w:val="24"/>
        </w:rPr>
        <w:t> </w:t>
      </w:r>
      <w:r>
        <w:rPr>
          <w:b/>
          <w:sz w:val="24"/>
        </w:rPr>
        <w:t>dans</w:t>
      </w:r>
      <w:r>
        <w:rPr>
          <w:b/>
          <w:spacing w:val="-14"/>
          <w:sz w:val="24"/>
        </w:rPr>
        <w:t> </w:t>
      </w:r>
      <w:r>
        <w:rPr>
          <w:b/>
          <w:sz w:val="24"/>
        </w:rPr>
        <w:t>le</w:t>
      </w:r>
      <w:r>
        <w:rPr>
          <w:b/>
          <w:spacing w:val="-16"/>
          <w:sz w:val="24"/>
        </w:rPr>
        <w:t> </w:t>
      </w:r>
      <w:r>
        <w:rPr>
          <w:b/>
          <w:sz w:val="24"/>
        </w:rPr>
        <w:t>contexte</w:t>
      </w:r>
      <w:r>
        <w:rPr>
          <w:b/>
          <w:spacing w:val="-17"/>
          <w:sz w:val="24"/>
        </w:rPr>
        <w:t> </w:t>
      </w:r>
      <w:r>
        <w:rPr>
          <w:b/>
          <w:sz w:val="24"/>
        </w:rPr>
        <w:t>épidémique</w:t>
      </w:r>
      <w:r>
        <w:rPr>
          <w:b/>
          <w:spacing w:val="-14"/>
          <w:sz w:val="24"/>
        </w:rPr>
        <w:t> </w:t>
      </w:r>
      <w:r>
        <w:rPr>
          <w:b/>
          <w:sz w:val="24"/>
        </w:rPr>
        <w:t>actuel</w:t>
      </w:r>
      <w:r>
        <w:rPr>
          <w:b/>
          <w:spacing w:val="-14"/>
          <w:sz w:val="24"/>
        </w:rPr>
        <w:t> </w:t>
      </w:r>
      <w:r>
        <w:rPr>
          <w:b/>
          <w:sz w:val="24"/>
        </w:rPr>
        <w:t>et</w:t>
      </w:r>
      <w:r>
        <w:rPr>
          <w:b/>
          <w:spacing w:val="-16"/>
          <w:sz w:val="24"/>
        </w:rPr>
        <w:t> </w:t>
      </w:r>
      <w:r>
        <w:rPr>
          <w:b/>
          <w:sz w:val="24"/>
        </w:rPr>
        <w:t>ont indiqué qu’il était nécessaire de retrouver le niveau de télétravail de début novembre.</w:t>
      </w:r>
    </w:p>
    <w:p>
      <w:pPr>
        <w:pStyle w:val="BodyText"/>
        <w:spacing w:before="3"/>
        <w:rPr>
          <w:b/>
          <w:sz w:val="25"/>
        </w:rPr>
      </w:pPr>
    </w:p>
    <w:p>
      <w:pPr>
        <w:pStyle w:val="BodyText"/>
        <w:spacing w:line="252" w:lineRule="auto"/>
        <w:ind w:left="235" w:right="119"/>
        <w:jc w:val="both"/>
      </w:pPr>
      <w:r>
        <w:rPr/>
        <w:t>Il</w:t>
      </w:r>
      <w:r>
        <w:rPr>
          <w:spacing w:val="-12"/>
        </w:rPr>
        <w:t> </w:t>
      </w:r>
      <w:r>
        <w:rPr/>
        <w:t>ressort</w:t>
      </w:r>
      <w:r>
        <w:rPr>
          <w:spacing w:val="-11"/>
        </w:rPr>
        <w:t> </w:t>
      </w:r>
      <w:r>
        <w:rPr/>
        <w:t>en</w:t>
      </w:r>
      <w:r>
        <w:rPr>
          <w:spacing w:val="-10"/>
        </w:rPr>
        <w:t> </w:t>
      </w:r>
      <w:r>
        <w:rPr/>
        <w:t>effet,</w:t>
      </w:r>
      <w:r>
        <w:rPr>
          <w:spacing w:val="-10"/>
        </w:rPr>
        <w:t> </w:t>
      </w:r>
      <w:r>
        <w:rPr/>
        <w:t>selon</w:t>
      </w:r>
      <w:r>
        <w:rPr>
          <w:spacing w:val="-10"/>
        </w:rPr>
        <w:t> </w:t>
      </w:r>
      <w:r>
        <w:rPr/>
        <w:t>la</w:t>
      </w:r>
      <w:r>
        <w:rPr>
          <w:spacing w:val="-11"/>
        </w:rPr>
        <w:t> </w:t>
      </w:r>
      <w:r>
        <w:rPr/>
        <w:t>dernière</w:t>
      </w:r>
      <w:r>
        <w:rPr>
          <w:spacing w:val="-10"/>
        </w:rPr>
        <w:t> </w:t>
      </w:r>
      <w:r>
        <w:rPr/>
        <w:t>enquête</w:t>
      </w:r>
      <w:r>
        <w:rPr>
          <w:spacing w:val="-10"/>
        </w:rPr>
        <w:t> </w:t>
      </w:r>
      <w:r>
        <w:rPr/>
        <w:t>Harris</w:t>
      </w:r>
      <w:r>
        <w:rPr>
          <w:spacing w:val="-11"/>
        </w:rPr>
        <w:t> </w:t>
      </w:r>
      <w:r>
        <w:rPr/>
        <w:t>réalisée</w:t>
      </w:r>
      <w:r>
        <w:rPr>
          <w:spacing w:val="-10"/>
        </w:rPr>
        <w:t> </w:t>
      </w:r>
      <w:r>
        <w:rPr/>
        <w:t>pour</w:t>
      </w:r>
      <w:r>
        <w:rPr>
          <w:spacing w:val="-12"/>
        </w:rPr>
        <w:t> </w:t>
      </w:r>
      <w:r>
        <w:rPr/>
        <w:t>le</w:t>
      </w:r>
      <w:r>
        <w:rPr>
          <w:spacing w:val="-10"/>
        </w:rPr>
        <w:t> </w:t>
      </w:r>
      <w:r>
        <w:rPr/>
        <w:t>ministère</w:t>
      </w:r>
      <w:r>
        <w:rPr>
          <w:spacing w:val="-13"/>
        </w:rPr>
        <w:t> </w:t>
      </w:r>
      <w:r>
        <w:rPr/>
        <w:t>du</w:t>
      </w:r>
      <w:r>
        <w:rPr>
          <w:spacing w:val="-12"/>
        </w:rPr>
        <w:t> </w:t>
      </w:r>
      <w:r>
        <w:rPr/>
        <w:t>Travail, que le taux de recours au télétravail s’érode progressivement depuis le mois de novembre parmi les actifs pouvant facilement télétravailler. Ainsi, 64% des actifs en situation de télétravailler y ont eu effectivement recours en janvier contre 70% en novembre.</w:t>
      </w:r>
    </w:p>
    <w:p>
      <w:pPr>
        <w:pStyle w:val="BodyText"/>
        <w:spacing w:before="1"/>
        <w:rPr>
          <w:sz w:val="25"/>
        </w:rPr>
      </w:pPr>
    </w:p>
    <w:p>
      <w:pPr>
        <w:pStyle w:val="BodyText"/>
        <w:spacing w:line="252" w:lineRule="auto" w:before="1"/>
        <w:ind w:left="235" w:right="121"/>
        <w:jc w:val="both"/>
      </w:pPr>
      <w:r>
        <w:rPr/>
        <w:t>Elisabeth Borne a réaffirmé que, dans le cadre d’un renforcement des restrictions sanitaires, le télétravail restait la règle pour toutes les activités qui le permettent. La possibilité de revenir sur le lieu de travail reste dérogatoire, dans la limite maximum d’un jour par semaine par salarié, pour les seuls salariés qui en ressentent le besoin. Elle a invité les partenaires sociaux à relayer clairement ces règles dans l’ensemble des secteurs et à encourager leur mise en œuvre dans le cadre du dialogue social au sein</w:t>
      </w:r>
      <w:r>
        <w:rPr>
          <w:spacing w:val="-7"/>
        </w:rPr>
        <w:t> </w:t>
      </w:r>
      <w:r>
        <w:rPr/>
        <w:t>de</w:t>
      </w:r>
      <w:r>
        <w:rPr>
          <w:spacing w:val="-6"/>
        </w:rPr>
        <w:t> </w:t>
      </w:r>
      <w:r>
        <w:rPr/>
        <w:t>l’entreprise.</w:t>
      </w:r>
      <w:r>
        <w:rPr>
          <w:spacing w:val="-6"/>
        </w:rPr>
        <w:t> </w:t>
      </w:r>
      <w:r>
        <w:rPr/>
        <w:t>La</w:t>
      </w:r>
      <w:r>
        <w:rPr>
          <w:spacing w:val="-8"/>
        </w:rPr>
        <w:t> </w:t>
      </w:r>
      <w:r>
        <w:rPr/>
        <w:t>part</w:t>
      </w:r>
      <w:r>
        <w:rPr>
          <w:spacing w:val="-7"/>
        </w:rPr>
        <w:t> </w:t>
      </w:r>
      <w:r>
        <w:rPr/>
        <w:t>de</w:t>
      </w:r>
      <w:r>
        <w:rPr>
          <w:spacing w:val="-7"/>
        </w:rPr>
        <w:t> </w:t>
      </w:r>
      <w:r>
        <w:rPr/>
        <w:t>salariés</w:t>
      </w:r>
      <w:r>
        <w:rPr>
          <w:spacing w:val="-7"/>
        </w:rPr>
        <w:t> </w:t>
      </w:r>
      <w:r>
        <w:rPr/>
        <w:t>dont</w:t>
      </w:r>
      <w:r>
        <w:rPr>
          <w:spacing w:val="-6"/>
        </w:rPr>
        <w:t> </w:t>
      </w:r>
      <w:r>
        <w:rPr/>
        <w:t>le</w:t>
      </w:r>
      <w:r>
        <w:rPr>
          <w:spacing w:val="-6"/>
        </w:rPr>
        <w:t> </w:t>
      </w:r>
      <w:r>
        <w:rPr/>
        <w:t>poste</w:t>
      </w:r>
      <w:r>
        <w:rPr>
          <w:spacing w:val="-6"/>
        </w:rPr>
        <w:t> </w:t>
      </w:r>
      <w:r>
        <w:rPr/>
        <w:t>est</w:t>
      </w:r>
      <w:r>
        <w:rPr>
          <w:spacing w:val="-7"/>
        </w:rPr>
        <w:t> </w:t>
      </w:r>
      <w:r>
        <w:rPr/>
        <w:t>télétravaillable</w:t>
      </w:r>
      <w:r>
        <w:rPr>
          <w:spacing w:val="-6"/>
        </w:rPr>
        <w:t> </w:t>
      </w:r>
      <w:r>
        <w:rPr/>
        <w:t>et</w:t>
      </w:r>
      <w:r>
        <w:rPr>
          <w:spacing w:val="-6"/>
        </w:rPr>
        <w:t> </w:t>
      </w:r>
      <w:r>
        <w:rPr/>
        <w:t>déclarant</w:t>
      </w:r>
      <w:r>
        <w:rPr>
          <w:spacing w:val="-9"/>
        </w:rPr>
        <w:t> </w:t>
      </w:r>
      <w:r>
        <w:rPr/>
        <w:t>ne jamais télétravailler reste encore trop élevée : c’est avant tout sur ce point que les entreprises concernées doivent</w:t>
      </w:r>
      <w:r>
        <w:rPr>
          <w:spacing w:val="-1"/>
        </w:rPr>
        <w:t> </w:t>
      </w:r>
      <w:r>
        <w:rPr/>
        <w:t>progresser.</w:t>
      </w:r>
    </w:p>
    <w:p>
      <w:pPr>
        <w:spacing w:after="0" w:line="252" w:lineRule="auto"/>
        <w:jc w:val="both"/>
        <w:sectPr>
          <w:type w:val="continuous"/>
          <w:pgSz w:w="11910" w:h="16840"/>
          <w:pgMar w:top="1580" w:bottom="280" w:left="1680" w:right="720"/>
        </w:sectPr>
      </w:pPr>
    </w:p>
    <w:p>
      <w:pPr>
        <w:pStyle w:val="BodyText"/>
        <w:spacing w:line="252" w:lineRule="auto" w:before="79"/>
        <w:ind w:left="235" w:right="117"/>
        <w:jc w:val="both"/>
      </w:pPr>
      <w:r>
        <w:rPr/>
        <w:t>Un plan de mobilisation de l’inspection du travail sera mis en œuvre pour veiller à la bonne application de ces règles. Une instruction, renforçant le contrôle et le suivi des opérations menée fin 2020, sera adressée en ce sens aux Direccte d’ici mercredi.</w:t>
      </w:r>
    </w:p>
    <w:p>
      <w:pPr>
        <w:pStyle w:val="BodyText"/>
        <w:spacing w:before="3"/>
        <w:rPr>
          <w:sz w:val="25"/>
        </w:rPr>
      </w:pPr>
    </w:p>
    <w:p>
      <w:pPr>
        <w:pStyle w:val="BodyText"/>
        <w:spacing w:line="252" w:lineRule="auto"/>
        <w:ind w:left="235" w:right="118"/>
        <w:jc w:val="both"/>
      </w:pPr>
      <w:r>
        <w:rPr/>
        <w:t>Laurent Pietraszewski a rappelé à cette occasion les évolutions survenues dans le protocole vendredi dernier, destinées à tenir compte du dernier avis du Haut Conseil de la Santé Publique (HCSP) :</w:t>
      </w:r>
    </w:p>
    <w:p>
      <w:pPr>
        <w:pStyle w:val="ListParagraph"/>
        <w:numPr>
          <w:ilvl w:val="0"/>
          <w:numId w:val="1"/>
        </w:numPr>
        <w:tabs>
          <w:tab w:pos="955" w:val="left" w:leader="none"/>
          <w:tab w:pos="956" w:val="left" w:leader="none"/>
        </w:tabs>
        <w:spacing w:line="249" w:lineRule="auto" w:before="0" w:after="0"/>
        <w:ind w:left="955" w:right="411" w:hanging="360"/>
        <w:jc w:val="left"/>
        <w:rPr>
          <w:sz w:val="24"/>
        </w:rPr>
      </w:pPr>
      <w:r>
        <w:rPr>
          <w:sz w:val="24"/>
        </w:rPr>
        <w:t>Les masques recommandés en milieu professionnel sont désormais les masques « grand public de filtration supérieure à 90% », correspondant au masque dit de « catégorie 1 » ainsi que les masques de type chirurgical. Les masques grand public de catégorie 2 ne sont plus autorisés</w:t>
      </w:r>
      <w:r>
        <w:rPr>
          <w:spacing w:val="-5"/>
          <w:sz w:val="24"/>
        </w:rPr>
        <w:t> </w:t>
      </w:r>
      <w:r>
        <w:rPr>
          <w:sz w:val="24"/>
        </w:rPr>
        <w:t>;</w:t>
      </w:r>
    </w:p>
    <w:p>
      <w:pPr>
        <w:pStyle w:val="ListParagraph"/>
        <w:numPr>
          <w:ilvl w:val="0"/>
          <w:numId w:val="1"/>
        </w:numPr>
        <w:tabs>
          <w:tab w:pos="955" w:val="left" w:leader="none"/>
          <w:tab w:pos="956" w:val="left" w:leader="none"/>
        </w:tabs>
        <w:spacing w:line="242" w:lineRule="auto" w:before="3" w:after="0"/>
        <w:ind w:left="955" w:right="125" w:hanging="360"/>
        <w:jc w:val="left"/>
        <w:rPr>
          <w:sz w:val="24"/>
        </w:rPr>
      </w:pPr>
      <w:r>
        <w:rPr>
          <w:sz w:val="24"/>
        </w:rPr>
        <w:t>La distance entre deux personnes est portée à 2 mètres dans les situations spécifiques où le masque ne peut être</w:t>
      </w:r>
      <w:r>
        <w:rPr>
          <w:spacing w:val="-8"/>
          <w:sz w:val="24"/>
        </w:rPr>
        <w:t> </w:t>
      </w:r>
      <w:r>
        <w:rPr>
          <w:sz w:val="24"/>
        </w:rPr>
        <w:t>porté.</w:t>
      </w:r>
    </w:p>
    <w:p>
      <w:pPr>
        <w:pStyle w:val="BodyText"/>
        <w:spacing w:line="252" w:lineRule="auto" w:before="173"/>
        <w:ind w:left="235" w:right="118"/>
        <w:jc w:val="both"/>
      </w:pPr>
      <w:r>
        <w:rPr/>
        <w:t>Les</w:t>
      </w:r>
      <w:r>
        <w:rPr>
          <w:spacing w:val="-9"/>
        </w:rPr>
        <w:t> </w:t>
      </w:r>
      <w:r>
        <w:rPr/>
        <w:t>règles</w:t>
      </w:r>
      <w:r>
        <w:rPr>
          <w:spacing w:val="-9"/>
        </w:rPr>
        <w:t> </w:t>
      </w:r>
      <w:r>
        <w:rPr/>
        <w:t>relatives</w:t>
      </w:r>
      <w:r>
        <w:rPr>
          <w:spacing w:val="-9"/>
        </w:rPr>
        <w:t> </w:t>
      </w:r>
      <w:r>
        <w:rPr/>
        <w:t>à</w:t>
      </w:r>
      <w:r>
        <w:rPr>
          <w:spacing w:val="-8"/>
        </w:rPr>
        <w:t> </w:t>
      </w:r>
      <w:r>
        <w:rPr/>
        <w:t>la</w:t>
      </w:r>
      <w:r>
        <w:rPr>
          <w:spacing w:val="-9"/>
        </w:rPr>
        <w:t> </w:t>
      </w:r>
      <w:r>
        <w:rPr/>
        <w:t>restauration</w:t>
      </w:r>
      <w:r>
        <w:rPr>
          <w:spacing w:val="-8"/>
        </w:rPr>
        <w:t> </w:t>
      </w:r>
      <w:r>
        <w:rPr/>
        <w:t>collective</w:t>
      </w:r>
      <w:r>
        <w:rPr>
          <w:spacing w:val="-8"/>
        </w:rPr>
        <w:t> </w:t>
      </w:r>
      <w:r>
        <w:rPr/>
        <w:t>sont</w:t>
      </w:r>
      <w:r>
        <w:rPr>
          <w:spacing w:val="-11"/>
        </w:rPr>
        <w:t> </w:t>
      </w:r>
      <w:r>
        <w:rPr/>
        <w:t>en</w:t>
      </w:r>
      <w:r>
        <w:rPr>
          <w:spacing w:val="-8"/>
        </w:rPr>
        <w:t> </w:t>
      </w:r>
      <w:r>
        <w:rPr/>
        <w:t>cours</w:t>
      </w:r>
      <w:r>
        <w:rPr>
          <w:spacing w:val="-9"/>
        </w:rPr>
        <w:t> </w:t>
      </w:r>
      <w:r>
        <w:rPr/>
        <w:t>d’adaptation</w:t>
      </w:r>
      <w:r>
        <w:rPr>
          <w:spacing w:val="-11"/>
        </w:rPr>
        <w:t> </w:t>
      </w:r>
      <w:r>
        <w:rPr/>
        <w:t>pour</w:t>
      </w:r>
      <w:r>
        <w:rPr>
          <w:spacing w:val="-10"/>
        </w:rPr>
        <w:t> </w:t>
      </w:r>
      <w:r>
        <w:rPr/>
        <w:t>prendre en compte la nécessité d’une distanciation de 2 mètres en l’absence de port du masque. Un décret permettant aux salariés de déjeuner dans des lieux normalement affectés</w:t>
      </w:r>
      <w:r>
        <w:rPr>
          <w:spacing w:val="-16"/>
        </w:rPr>
        <w:t> </w:t>
      </w:r>
      <w:r>
        <w:rPr/>
        <w:t>au</w:t>
      </w:r>
      <w:r>
        <w:rPr>
          <w:spacing w:val="-15"/>
        </w:rPr>
        <w:t> </w:t>
      </w:r>
      <w:r>
        <w:rPr/>
        <w:t>travail,</w:t>
      </w:r>
      <w:r>
        <w:rPr>
          <w:spacing w:val="-15"/>
        </w:rPr>
        <w:t> </w:t>
      </w:r>
      <w:r>
        <w:rPr/>
        <w:t>dans</w:t>
      </w:r>
      <w:r>
        <w:rPr>
          <w:spacing w:val="-15"/>
        </w:rPr>
        <w:t> </w:t>
      </w:r>
      <w:r>
        <w:rPr/>
        <w:t>le</w:t>
      </w:r>
      <w:r>
        <w:rPr>
          <w:spacing w:val="-15"/>
        </w:rPr>
        <w:t> </w:t>
      </w:r>
      <w:r>
        <w:rPr/>
        <w:t>respect</w:t>
      </w:r>
      <w:r>
        <w:rPr>
          <w:spacing w:val="-15"/>
        </w:rPr>
        <w:t> </w:t>
      </w:r>
      <w:r>
        <w:rPr/>
        <w:t>des</w:t>
      </w:r>
      <w:r>
        <w:rPr>
          <w:spacing w:val="-15"/>
        </w:rPr>
        <w:t> </w:t>
      </w:r>
      <w:r>
        <w:rPr/>
        <w:t>règles</w:t>
      </w:r>
      <w:r>
        <w:rPr>
          <w:spacing w:val="-17"/>
        </w:rPr>
        <w:t> </w:t>
      </w:r>
      <w:r>
        <w:rPr/>
        <w:t>de</w:t>
      </w:r>
      <w:r>
        <w:rPr>
          <w:spacing w:val="-15"/>
        </w:rPr>
        <w:t> </w:t>
      </w:r>
      <w:r>
        <w:rPr/>
        <w:t>santé</w:t>
      </w:r>
      <w:r>
        <w:rPr>
          <w:spacing w:val="-15"/>
        </w:rPr>
        <w:t> </w:t>
      </w:r>
      <w:r>
        <w:rPr/>
        <w:t>et</w:t>
      </w:r>
      <w:r>
        <w:rPr>
          <w:spacing w:val="-17"/>
        </w:rPr>
        <w:t> </w:t>
      </w:r>
      <w:r>
        <w:rPr/>
        <w:t>de</w:t>
      </w:r>
      <w:r>
        <w:rPr>
          <w:spacing w:val="-15"/>
        </w:rPr>
        <w:t> </w:t>
      </w:r>
      <w:r>
        <w:rPr/>
        <w:t>sécurité,</w:t>
      </w:r>
      <w:r>
        <w:rPr>
          <w:spacing w:val="-17"/>
        </w:rPr>
        <w:t> </w:t>
      </w:r>
      <w:r>
        <w:rPr/>
        <w:t>devrait</w:t>
      </w:r>
      <w:r>
        <w:rPr>
          <w:spacing w:val="-15"/>
        </w:rPr>
        <w:t> </w:t>
      </w:r>
      <w:r>
        <w:rPr/>
        <w:t>être</w:t>
      </w:r>
      <w:r>
        <w:rPr>
          <w:spacing w:val="-15"/>
        </w:rPr>
        <w:t> </w:t>
      </w:r>
      <w:r>
        <w:rPr/>
        <w:t>publié dans les prochains</w:t>
      </w:r>
      <w:r>
        <w:rPr>
          <w:spacing w:val="-1"/>
        </w:rPr>
        <w:t> </w:t>
      </w:r>
      <w:r>
        <w:rPr/>
        <w:t>jours.</w:t>
      </w:r>
    </w:p>
    <w:p>
      <w:pPr>
        <w:pStyle w:val="BodyText"/>
        <w:spacing w:before="4"/>
        <w:rPr>
          <w:sz w:val="25"/>
        </w:rPr>
      </w:pPr>
    </w:p>
    <w:p>
      <w:pPr>
        <w:pStyle w:val="BodyText"/>
        <w:spacing w:line="252" w:lineRule="auto"/>
        <w:ind w:left="235" w:right="117"/>
        <w:jc w:val="both"/>
      </w:pPr>
      <w:r>
        <w:rPr/>
        <w:t>S’agissant</w:t>
      </w:r>
      <w:r>
        <w:rPr>
          <w:spacing w:val="-7"/>
        </w:rPr>
        <w:t> </w:t>
      </w:r>
      <w:r>
        <w:rPr/>
        <w:t>de</w:t>
      </w:r>
      <w:r>
        <w:rPr>
          <w:spacing w:val="-6"/>
        </w:rPr>
        <w:t> </w:t>
      </w:r>
      <w:r>
        <w:rPr/>
        <w:t>la</w:t>
      </w:r>
      <w:r>
        <w:rPr>
          <w:spacing w:val="-7"/>
        </w:rPr>
        <w:t> </w:t>
      </w:r>
      <w:r>
        <w:rPr/>
        <w:t>situation</w:t>
      </w:r>
      <w:r>
        <w:rPr>
          <w:spacing w:val="-6"/>
        </w:rPr>
        <w:t> </w:t>
      </w:r>
      <w:r>
        <w:rPr/>
        <w:t>des</w:t>
      </w:r>
      <w:r>
        <w:rPr>
          <w:spacing w:val="-8"/>
        </w:rPr>
        <w:t> </w:t>
      </w:r>
      <w:r>
        <w:rPr/>
        <w:t>professionnels</w:t>
      </w:r>
      <w:r>
        <w:rPr>
          <w:spacing w:val="-10"/>
        </w:rPr>
        <w:t> </w:t>
      </w:r>
      <w:r>
        <w:rPr/>
        <w:t>sur</w:t>
      </w:r>
      <w:r>
        <w:rPr>
          <w:spacing w:val="-8"/>
        </w:rPr>
        <w:t> </w:t>
      </w:r>
      <w:r>
        <w:rPr/>
        <w:t>les</w:t>
      </w:r>
      <w:r>
        <w:rPr>
          <w:spacing w:val="-6"/>
        </w:rPr>
        <w:t> </w:t>
      </w:r>
      <w:r>
        <w:rPr/>
        <w:t>chantiers,</w:t>
      </w:r>
      <w:r>
        <w:rPr>
          <w:spacing w:val="-8"/>
        </w:rPr>
        <w:t> </w:t>
      </w:r>
      <w:r>
        <w:rPr/>
        <w:t>qui</w:t>
      </w:r>
      <w:r>
        <w:rPr>
          <w:spacing w:val="-7"/>
        </w:rPr>
        <w:t> </w:t>
      </w:r>
      <w:r>
        <w:rPr/>
        <w:t>ne</w:t>
      </w:r>
      <w:r>
        <w:rPr>
          <w:spacing w:val="-7"/>
        </w:rPr>
        <w:t> </w:t>
      </w:r>
      <w:r>
        <w:rPr/>
        <w:t>disposent</w:t>
      </w:r>
      <w:r>
        <w:rPr>
          <w:spacing w:val="-9"/>
        </w:rPr>
        <w:t> </w:t>
      </w:r>
      <w:r>
        <w:rPr/>
        <w:t>pas</w:t>
      </w:r>
      <w:r>
        <w:rPr>
          <w:spacing w:val="-7"/>
        </w:rPr>
        <w:t> </w:t>
      </w:r>
      <w:r>
        <w:rPr/>
        <w:t>de lieux</w:t>
      </w:r>
      <w:r>
        <w:rPr>
          <w:spacing w:val="-20"/>
        </w:rPr>
        <w:t> </w:t>
      </w:r>
      <w:r>
        <w:rPr/>
        <w:t>clos</w:t>
      </w:r>
      <w:r>
        <w:rPr>
          <w:spacing w:val="-16"/>
        </w:rPr>
        <w:t> </w:t>
      </w:r>
      <w:r>
        <w:rPr/>
        <w:t>pour</w:t>
      </w:r>
      <w:r>
        <w:rPr>
          <w:spacing w:val="-18"/>
        </w:rPr>
        <w:t> </w:t>
      </w:r>
      <w:r>
        <w:rPr/>
        <w:t>se</w:t>
      </w:r>
      <w:r>
        <w:rPr>
          <w:spacing w:val="-16"/>
        </w:rPr>
        <w:t> </w:t>
      </w:r>
      <w:r>
        <w:rPr/>
        <w:t>restaurer,</w:t>
      </w:r>
      <w:r>
        <w:rPr>
          <w:spacing w:val="-18"/>
        </w:rPr>
        <w:t> </w:t>
      </w:r>
      <w:r>
        <w:rPr/>
        <w:t>il</w:t>
      </w:r>
      <w:r>
        <w:rPr>
          <w:spacing w:val="-18"/>
        </w:rPr>
        <w:t> </w:t>
      </w:r>
      <w:r>
        <w:rPr/>
        <w:t>a</w:t>
      </w:r>
      <w:r>
        <w:rPr>
          <w:spacing w:val="-16"/>
        </w:rPr>
        <w:t> </w:t>
      </w:r>
      <w:r>
        <w:rPr/>
        <w:t>été</w:t>
      </w:r>
      <w:r>
        <w:rPr>
          <w:spacing w:val="-17"/>
        </w:rPr>
        <w:t> </w:t>
      </w:r>
      <w:r>
        <w:rPr/>
        <w:t>rappelé</w:t>
      </w:r>
      <w:r>
        <w:rPr>
          <w:spacing w:val="-16"/>
        </w:rPr>
        <w:t> </w:t>
      </w:r>
      <w:r>
        <w:rPr/>
        <w:t>les</w:t>
      </w:r>
      <w:r>
        <w:rPr>
          <w:spacing w:val="-20"/>
        </w:rPr>
        <w:t> </w:t>
      </w:r>
      <w:r>
        <w:rPr/>
        <w:t>solutions</w:t>
      </w:r>
      <w:r>
        <w:rPr>
          <w:spacing w:val="-19"/>
        </w:rPr>
        <w:t> </w:t>
      </w:r>
      <w:r>
        <w:rPr/>
        <w:t>mises</w:t>
      </w:r>
      <w:r>
        <w:rPr>
          <w:spacing w:val="-16"/>
        </w:rPr>
        <w:t> </w:t>
      </w:r>
      <w:r>
        <w:rPr/>
        <w:t>en</w:t>
      </w:r>
      <w:r>
        <w:rPr>
          <w:spacing w:val="-19"/>
        </w:rPr>
        <w:t> </w:t>
      </w:r>
      <w:r>
        <w:rPr/>
        <w:t>place</w:t>
      </w:r>
      <w:r>
        <w:rPr>
          <w:spacing w:val="-16"/>
        </w:rPr>
        <w:t> </w:t>
      </w:r>
      <w:r>
        <w:rPr/>
        <w:t>pour</w:t>
      </w:r>
      <w:r>
        <w:rPr>
          <w:spacing w:val="-18"/>
        </w:rPr>
        <w:t> </w:t>
      </w:r>
      <w:r>
        <w:rPr/>
        <w:t>y</w:t>
      </w:r>
      <w:r>
        <w:rPr>
          <w:spacing w:val="-19"/>
        </w:rPr>
        <w:t> </w:t>
      </w:r>
      <w:r>
        <w:rPr/>
        <w:t>répondre et</w:t>
      </w:r>
      <w:r>
        <w:rPr>
          <w:spacing w:val="-11"/>
        </w:rPr>
        <w:t> </w:t>
      </w:r>
      <w:r>
        <w:rPr/>
        <w:t>qui</w:t>
      </w:r>
      <w:r>
        <w:rPr>
          <w:spacing w:val="-12"/>
        </w:rPr>
        <w:t> </w:t>
      </w:r>
      <w:r>
        <w:rPr/>
        <w:t>sont</w:t>
      </w:r>
      <w:r>
        <w:rPr>
          <w:spacing w:val="-12"/>
        </w:rPr>
        <w:t> </w:t>
      </w:r>
      <w:r>
        <w:rPr/>
        <w:t>encore</w:t>
      </w:r>
      <w:r>
        <w:rPr>
          <w:spacing w:val="-11"/>
        </w:rPr>
        <w:t> </w:t>
      </w:r>
      <w:r>
        <w:rPr/>
        <w:t>insuffisamment</w:t>
      </w:r>
      <w:r>
        <w:rPr>
          <w:spacing w:val="-11"/>
        </w:rPr>
        <w:t> </w:t>
      </w:r>
      <w:r>
        <w:rPr/>
        <w:t>exploitées</w:t>
      </w:r>
      <w:r>
        <w:rPr>
          <w:spacing w:val="2"/>
        </w:rPr>
        <w:t> </w:t>
      </w:r>
      <w:r>
        <w:rPr/>
        <w:t>:</w:t>
      </w:r>
      <w:r>
        <w:rPr>
          <w:spacing w:val="-12"/>
        </w:rPr>
        <w:t> </w:t>
      </w:r>
      <w:r>
        <w:rPr/>
        <w:t>mise</w:t>
      </w:r>
      <w:r>
        <w:rPr>
          <w:spacing w:val="-11"/>
        </w:rPr>
        <w:t> </w:t>
      </w:r>
      <w:r>
        <w:rPr/>
        <w:t>à</w:t>
      </w:r>
      <w:r>
        <w:rPr>
          <w:spacing w:val="-13"/>
        </w:rPr>
        <w:t> </w:t>
      </w:r>
      <w:r>
        <w:rPr/>
        <w:t>disposition</w:t>
      </w:r>
      <w:r>
        <w:rPr>
          <w:spacing w:val="-10"/>
        </w:rPr>
        <w:t> </w:t>
      </w:r>
      <w:r>
        <w:rPr/>
        <w:t>par</w:t>
      </w:r>
      <w:r>
        <w:rPr>
          <w:spacing w:val="-12"/>
        </w:rPr>
        <w:t> </w:t>
      </w:r>
      <w:r>
        <w:rPr/>
        <w:t>le</w:t>
      </w:r>
      <w:r>
        <w:rPr>
          <w:spacing w:val="-11"/>
        </w:rPr>
        <w:t> </w:t>
      </w:r>
      <w:r>
        <w:rPr/>
        <w:t>maire</w:t>
      </w:r>
      <w:r>
        <w:rPr>
          <w:spacing w:val="-10"/>
        </w:rPr>
        <w:t> </w:t>
      </w:r>
      <w:r>
        <w:rPr/>
        <w:t>de</w:t>
      </w:r>
      <w:r>
        <w:rPr>
          <w:spacing w:val="-11"/>
        </w:rPr>
        <w:t> </w:t>
      </w:r>
      <w:r>
        <w:rPr/>
        <w:t>locaux municipaux, possibilité de passer une convention avec un ou des restaurateurs pour mettre à disposition leur établissement sous statut de restauration collective afin d’accueillir des salariés d’entreprises du BTP (à l'heure du déjeuner notamment). Ce message sera également relayé auprès des préfets afin de faciliter la mise en œuvre opérationnelle sur le</w:t>
      </w:r>
      <w:r>
        <w:rPr>
          <w:spacing w:val="-3"/>
        </w:rPr>
        <w:t> </w:t>
      </w:r>
      <w:r>
        <w:rPr/>
        <w:t>terrain.</w:t>
      </w:r>
    </w:p>
    <w:p>
      <w:pPr>
        <w:pStyle w:val="BodyText"/>
        <w:spacing w:before="10"/>
      </w:pPr>
    </w:p>
    <w:p>
      <w:pPr>
        <w:spacing w:line="252" w:lineRule="auto" w:before="1"/>
        <w:ind w:left="235" w:right="116" w:firstLine="0"/>
        <w:jc w:val="both"/>
        <w:rPr>
          <w:b/>
          <w:sz w:val="24"/>
        </w:rPr>
      </w:pPr>
      <w:r>
        <w:rPr>
          <w:i/>
          <w:sz w:val="24"/>
        </w:rPr>
        <w:t>«</w:t>
      </w:r>
      <w:r>
        <w:rPr>
          <w:i/>
          <w:spacing w:val="-1"/>
          <w:sz w:val="24"/>
        </w:rPr>
        <w:t> </w:t>
      </w:r>
      <w:r>
        <w:rPr>
          <w:i/>
          <w:sz w:val="24"/>
        </w:rPr>
        <w:t>Les</w:t>
      </w:r>
      <w:r>
        <w:rPr>
          <w:i/>
          <w:spacing w:val="-9"/>
          <w:sz w:val="24"/>
        </w:rPr>
        <w:t> </w:t>
      </w:r>
      <w:r>
        <w:rPr>
          <w:i/>
          <w:sz w:val="24"/>
        </w:rPr>
        <w:t>partenaires</w:t>
      </w:r>
      <w:r>
        <w:rPr>
          <w:i/>
          <w:spacing w:val="-7"/>
          <w:sz w:val="24"/>
        </w:rPr>
        <w:t> </w:t>
      </w:r>
      <w:r>
        <w:rPr>
          <w:i/>
          <w:sz w:val="24"/>
        </w:rPr>
        <w:t>sociaux</w:t>
      </w:r>
      <w:r>
        <w:rPr>
          <w:i/>
          <w:spacing w:val="-6"/>
          <w:sz w:val="24"/>
        </w:rPr>
        <w:t> </w:t>
      </w:r>
      <w:r>
        <w:rPr>
          <w:i/>
          <w:sz w:val="24"/>
        </w:rPr>
        <w:t>conviennent</w:t>
      </w:r>
      <w:r>
        <w:rPr>
          <w:i/>
          <w:spacing w:val="-6"/>
          <w:sz w:val="24"/>
        </w:rPr>
        <w:t> </w:t>
      </w:r>
      <w:r>
        <w:rPr>
          <w:i/>
          <w:sz w:val="24"/>
        </w:rPr>
        <w:t>d’une</w:t>
      </w:r>
      <w:r>
        <w:rPr>
          <w:i/>
          <w:spacing w:val="-6"/>
          <w:sz w:val="24"/>
        </w:rPr>
        <w:t> </w:t>
      </w:r>
      <w:r>
        <w:rPr>
          <w:i/>
          <w:sz w:val="24"/>
        </w:rPr>
        <w:t>érosion</w:t>
      </w:r>
      <w:r>
        <w:rPr>
          <w:i/>
          <w:spacing w:val="-6"/>
          <w:sz w:val="24"/>
        </w:rPr>
        <w:t> </w:t>
      </w:r>
      <w:r>
        <w:rPr>
          <w:i/>
          <w:sz w:val="24"/>
        </w:rPr>
        <w:t>du</w:t>
      </w:r>
      <w:r>
        <w:rPr>
          <w:i/>
          <w:spacing w:val="-5"/>
          <w:sz w:val="24"/>
        </w:rPr>
        <w:t> </w:t>
      </w:r>
      <w:r>
        <w:rPr>
          <w:i/>
          <w:sz w:val="24"/>
        </w:rPr>
        <w:t>télétravail</w:t>
      </w:r>
      <w:r>
        <w:rPr>
          <w:i/>
          <w:spacing w:val="-8"/>
          <w:sz w:val="24"/>
        </w:rPr>
        <w:t> </w:t>
      </w:r>
      <w:r>
        <w:rPr>
          <w:i/>
          <w:sz w:val="24"/>
        </w:rPr>
        <w:t>et</w:t>
      </w:r>
      <w:r>
        <w:rPr>
          <w:i/>
          <w:spacing w:val="-6"/>
          <w:sz w:val="24"/>
        </w:rPr>
        <w:t> </w:t>
      </w:r>
      <w:r>
        <w:rPr>
          <w:i/>
          <w:sz w:val="24"/>
        </w:rPr>
        <w:t>sont</w:t>
      </w:r>
      <w:r>
        <w:rPr>
          <w:i/>
          <w:spacing w:val="-9"/>
          <w:sz w:val="24"/>
        </w:rPr>
        <w:t> </w:t>
      </w:r>
      <w:r>
        <w:rPr>
          <w:i/>
          <w:sz w:val="24"/>
        </w:rPr>
        <w:t>d’accord</w:t>
      </w:r>
      <w:r>
        <w:rPr>
          <w:i/>
          <w:spacing w:val="-6"/>
          <w:sz w:val="24"/>
        </w:rPr>
        <w:t> </w:t>
      </w:r>
      <w:r>
        <w:rPr>
          <w:i/>
          <w:sz w:val="24"/>
        </w:rPr>
        <w:t>sur </w:t>
      </w:r>
      <w:r>
        <w:rPr>
          <w:i/>
          <w:sz w:val="24"/>
        </w:rPr>
        <w:t>le fait que nous ne pouvons pas nous satisfaire de cette situation. Je compte sur eux pour mobiliser les chefs d’entreprise et les représentants des salariés pour définir au plus près du terrain les moyens d’intensifier le télétravail dans les entreprises. J’ai également</w:t>
      </w:r>
      <w:r>
        <w:rPr>
          <w:i/>
          <w:spacing w:val="-11"/>
          <w:sz w:val="24"/>
        </w:rPr>
        <w:t> </w:t>
      </w:r>
      <w:r>
        <w:rPr>
          <w:i/>
          <w:sz w:val="24"/>
        </w:rPr>
        <w:t>demandé</w:t>
      </w:r>
      <w:r>
        <w:rPr>
          <w:i/>
          <w:spacing w:val="-9"/>
          <w:sz w:val="24"/>
        </w:rPr>
        <w:t> </w:t>
      </w:r>
      <w:r>
        <w:rPr>
          <w:i/>
          <w:sz w:val="24"/>
        </w:rPr>
        <w:t>aux</w:t>
      </w:r>
      <w:r>
        <w:rPr>
          <w:i/>
          <w:spacing w:val="-8"/>
          <w:sz w:val="24"/>
        </w:rPr>
        <w:t> </w:t>
      </w:r>
      <w:r>
        <w:rPr>
          <w:i/>
          <w:sz w:val="24"/>
        </w:rPr>
        <w:t>services</w:t>
      </w:r>
      <w:r>
        <w:rPr>
          <w:i/>
          <w:spacing w:val="-10"/>
          <w:sz w:val="24"/>
        </w:rPr>
        <w:t> </w:t>
      </w:r>
      <w:r>
        <w:rPr>
          <w:i/>
          <w:sz w:val="24"/>
        </w:rPr>
        <w:t>du</w:t>
      </w:r>
      <w:r>
        <w:rPr>
          <w:i/>
          <w:spacing w:val="-7"/>
          <w:sz w:val="24"/>
        </w:rPr>
        <w:t> </w:t>
      </w:r>
      <w:r>
        <w:rPr>
          <w:i/>
          <w:sz w:val="24"/>
        </w:rPr>
        <w:t>ministère</w:t>
      </w:r>
      <w:r>
        <w:rPr>
          <w:i/>
          <w:spacing w:val="-8"/>
          <w:sz w:val="24"/>
        </w:rPr>
        <w:t> </w:t>
      </w:r>
      <w:r>
        <w:rPr>
          <w:i/>
          <w:sz w:val="24"/>
        </w:rPr>
        <w:t>du</w:t>
      </w:r>
      <w:r>
        <w:rPr>
          <w:i/>
          <w:spacing w:val="-9"/>
          <w:sz w:val="24"/>
        </w:rPr>
        <w:t> </w:t>
      </w:r>
      <w:r>
        <w:rPr>
          <w:i/>
          <w:sz w:val="24"/>
        </w:rPr>
        <w:t>Travail,</w:t>
      </w:r>
      <w:r>
        <w:rPr>
          <w:i/>
          <w:spacing w:val="-10"/>
          <w:sz w:val="24"/>
        </w:rPr>
        <w:t> </w:t>
      </w:r>
      <w:r>
        <w:rPr>
          <w:i/>
          <w:sz w:val="24"/>
        </w:rPr>
        <w:t>notamment</w:t>
      </w:r>
      <w:r>
        <w:rPr>
          <w:i/>
          <w:spacing w:val="-8"/>
          <w:sz w:val="24"/>
        </w:rPr>
        <w:t> </w:t>
      </w:r>
      <w:r>
        <w:rPr>
          <w:i/>
          <w:sz w:val="24"/>
        </w:rPr>
        <w:t>à</w:t>
      </w:r>
      <w:r>
        <w:rPr>
          <w:i/>
          <w:spacing w:val="-9"/>
          <w:sz w:val="24"/>
        </w:rPr>
        <w:t> </w:t>
      </w:r>
      <w:r>
        <w:rPr>
          <w:i/>
          <w:sz w:val="24"/>
        </w:rPr>
        <w:t>l’inspection</w:t>
      </w:r>
      <w:r>
        <w:rPr>
          <w:i/>
          <w:spacing w:val="-7"/>
          <w:sz w:val="24"/>
        </w:rPr>
        <w:t> </w:t>
      </w:r>
      <w:r>
        <w:rPr>
          <w:i/>
          <w:sz w:val="24"/>
        </w:rPr>
        <w:t>du travail, de renforcer leurs interventions en entreprise pour s’assurer que ce dialogue social est en place et qu’il est suivi d’effets concrets et rapides » </w:t>
      </w:r>
      <w:r>
        <w:rPr>
          <w:sz w:val="24"/>
        </w:rPr>
        <w:t>a déclaré </w:t>
      </w:r>
      <w:r>
        <w:rPr>
          <w:b/>
          <w:sz w:val="24"/>
        </w:rPr>
        <w:t>Elisabeth Borne, ministre du Travail, de l’Emploi et de</w:t>
      </w:r>
      <w:r>
        <w:rPr>
          <w:b/>
          <w:spacing w:val="-7"/>
          <w:sz w:val="24"/>
        </w:rPr>
        <w:t> </w:t>
      </w:r>
      <w:r>
        <w:rPr>
          <w:b/>
          <w:sz w:val="24"/>
        </w:rPr>
        <w:t>l’Insertion.</w:t>
      </w:r>
    </w:p>
    <w:p>
      <w:pPr>
        <w:pStyle w:val="BodyText"/>
        <w:spacing w:before="2"/>
        <w:rPr>
          <w:b/>
        </w:rPr>
      </w:pPr>
    </w:p>
    <w:p>
      <w:pPr>
        <w:spacing w:line="252" w:lineRule="auto" w:before="0"/>
        <w:ind w:left="235" w:right="114" w:firstLine="0"/>
        <w:jc w:val="both"/>
        <w:rPr>
          <w:b/>
          <w:sz w:val="24"/>
        </w:rPr>
      </w:pPr>
      <w:r>
        <w:rPr>
          <w:i/>
          <w:sz w:val="24"/>
        </w:rPr>
        <w:t>« Dans le contexte sanitaire actuel, des marges de manœuvre existent pour mieux </w:t>
      </w:r>
      <w:r>
        <w:rPr>
          <w:i/>
          <w:sz w:val="24"/>
        </w:rPr>
        <w:t>appliquer le télétravail dans les entreprises. Les CSE ont un rôle à jouer sur le terrain, dans le cadre d’un dialogue social de proximité. Une fois définie par l’employeur, les employeurs sont invités à transmettre pour information la liste des activités télétravaillables au Comité Social et Economique (CSE). Par ailleurs, les entreprises peuvent solliciter leur service de santé au travail pour les accompagner dans leur démarche et apporter un soutien aux salariés adapté à ce mode d’organisation du travail</w:t>
      </w:r>
      <w:r>
        <w:rPr>
          <w:i/>
          <w:spacing w:val="-6"/>
          <w:sz w:val="24"/>
        </w:rPr>
        <w:t> </w:t>
      </w:r>
      <w:r>
        <w:rPr>
          <w:i/>
          <w:sz w:val="24"/>
        </w:rPr>
        <w:t>»</w:t>
      </w:r>
      <w:r>
        <w:rPr>
          <w:i/>
          <w:spacing w:val="-3"/>
          <w:sz w:val="24"/>
        </w:rPr>
        <w:t> </w:t>
      </w:r>
      <w:r>
        <w:rPr>
          <w:sz w:val="24"/>
        </w:rPr>
        <w:t>a</w:t>
      </w:r>
      <w:r>
        <w:rPr>
          <w:spacing w:val="-7"/>
          <w:sz w:val="24"/>
        </w:rPr>
        <w:t> </w:t>
      </w:r>
      <w:r>
        <w:rPr>
          <w:sz w:val="24"/>
        </w:rPr>
        <w:t>précisé</w:t>
      </w:r>
      <w:r>
        <w:rPr>
          <w:spacing w:val="-5"/>
          <w:sz w:val="24"/>
        </w:rPr>
        <w:t> </w:t>
      </w:r>
      <w:r>
        <w:rPr>
          <w:b/>
          <w:sz w:val="24"/>
        </w:rPr>
        <w:t>Laurent</w:t>
      </w:r>
      <w:r>
        <w:rPr>
          <w:b/>
          <w:spacing w:val="-6"/>
          <w:sz w:val="24"/>
        </w:rPr>
        <w:t> </w:t>
      </w:r>
      <w:r>
        <w:rPr>
          <w:b/>
          <w:sz w:val="24"/>
        </w:rPr>
        <w:t>Pietraszewski,</w:t>
      </w:r>
      <w:r>
        <w:rPr>
          <w:b/>
          <w:spacing w:val="-4"/>
          <w:sz w:val="24"/>
        </w:rPr>
        <w:t> </w:t>
      </w:r>
      <w:r>
        <w:rPr>
          <w:b/>
          <w:sz w:val="24"/>
        </w:rPr>
        <w:t>secrétaire</w:t>
      </w:r>
      <w:r>
        <w:rPr>
          <w:b/>
          <w:spacing w:val="-4"/>
          <w:sz w:val="24"/>
        </w:rPr>
        <w:t> </w:t>
      </w:r>
      <w:r>
        <w:rPr>
          <w:b/>
          <w:sz w:val="24"/>
        </w:rPr>
        <w:t>d’Etat</w:t>
      </w:r>
      <w:r>
        <w:rPr>
          <w:b/>
          <w:spacing w:val="-5"/>
          <w:sz w:val="24"/>
        </w:rPr>
        <w:t> </w:t>
      </w:r>
      <w:r>
        <w:rPr>
          <w:b/>
          <w:sz w:val="24"/>
        </w:rPr>
        <w:t>chargé</w:t>
      </w:r>
      <w:r>
        <w:rPr>
          <w:b/>
          <w:spacing w:val="-5"/>
          <w:sz w:val="24"/>
        </w:rPr>
        <w:t> </w:t>
      </w:r>
      <w:r>
        <w:rPr>
          <w:b/>
          <w:sz w:val="24"/>
        </w:rPr>
        <w:t>des</w:t>
      </w:r>
      <w:r>
        <w:rPr>
          <w:b/>
          <w:spacing w:val="-6"/>
          <w:sz w:val="24"/>
        </w:rPr>
        <w:t> </w:t>
      </w:r>
      <w:r>
        <w:rPr>
          <w:b/>
          <w:sz w:val="24"/>
        </w:rPr>
        <w:t>Retraites</w:t>
      </w:r>
      <w:r>
        <w:rPr>
          <w:b/>
          <w:spacing w:val="-4"/>
          <w:sz w:val="24"/>
        </w:rPr>
        <w:t> </w:t>
      </w:r>
      <w:r>
        <w:rPr>
          <w:b/>
          <w:sz w:val="24"/>
        </w:rPr>
        <w:t>et de la Santé au</w:t>
      </w:r>
      <w:r>
        <w:rPr>
          <w:b/>
          <w:spacing w:val="-5"/>
          <w:sz w:val="24"/>
        </w:rPr>
        <w:t> </w:t>
      </w:r>
      <w:r>
        <w:rPr>
          <w:b/>
          <w:sz w:val="24"/>
        </w:rPr>
        <w:t>travail.</w:t>
      </w:r>
    </w:p>
    <w:p>
      <w:pPr>
        <w:spacing w:after="0" w:line="252" w:lineRule="auto"/>
        <w:jc w:val="both"/>
        <w:rPr>
          <w:sz w:val="24"/>
        </w:rPr>
        <w:sectPr>
          <w:pgSz w:w="11910" w:h="16840"/>
          <w:pgMar w:top="920" w:bottom="280" w:left="1680" w:right="720"/>
        </w:sectPr>
      </w:pPr>
    </w:p>
    <w:p>
      <w:pPr>
        <w:spacing w:before="79"/>
        <w:ind w:left="235" w:right="0" w:firstLine="0"/>
        <w:jc w:val="left"/>
        <w:rPr>
          <w:b/>
          <w:sz w:val="18"/>
        </w:rPr>
      </w:pPr>
      <w:r>
        <w:rPr>
          <w:b/>
          <w:sz w:val="18"/>
        </w:rPr>
        <w:t>Contact presse :</w:t>
      </w:r>
    </w:p>
    <w:p>
      <w:pPr>
        <w:spacing w:line="384" w:lineRule="auto" w:before="122"/>
        <w:ind w:left="235" w:right="19" w:firstLine="0"/>
        <w:jc w:val="left"/>
        <w:rPr>
          <w:b/>
          <w:sz w:val="18"/>
        </w:rPr>
      </w:pPr>
      <w:r>
        <w:rPr>
          <w:b/>
          <w:sz w:val="18"/>
        </w:rPr>
        <w:t>Ministère du Travail, de l'Emploi et de l'Insertion Cabinet d’Elisabeth Borne</w:t>
      </w:r>
    </w:p>
    <w:p>
      <w:pPr>
        <w:spacing w:line="205" w:lineRule="exact" w:before="0"/>
        <w:ind w:left="235" w:right="0" w:firstLine="0"/>
        <w:jc w:val="left"/>
        <w:rPr>
          <w:sz w:val="18"/>
        </w:rPr>
      </w:pPr>
      <w:r>
        <w:rPr>
          <w:sz w:val="18"/>
        </w:rPr>
        <w:t>Tél : 01 49 55 32 21</w:t>
      </w:r>
    </w:p>
    <w:p>
      <w:pPr>
        <w:spacing w:before="124"/>
        <w:ind w:left="235" w:right="0" w:firstLine="0"/>
        <w:jc w:val="left"/>
        <w:rPr>
          <w:sz w:val="18"/>
        </w:rPr>
      </w:pPr>
      <w:r>
        <w:rPr>
          <w:sz w:val="18"/>
        </w:rPr>
        <w:t>Mél : </w:t>
      </w:r>
      <w:hyperlink r:id="rId6">
        <w:r>
          <w:rPr>
            <w:color w:val="0000FF"/>
            <w:sz w:val="18"/>
            <w:u w:val="single" w:color="0000FF"/>
          </w:rPr>
          <w:t>sec.presse.travail@cab.travail.gouv.fr</w:t>
        </w:r>
      </w:hyperlink>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spacing w:before="119"/>
        <w:ind w:left="235" w:right="0" w:firstLine="0"/>
        <w:jc w:val="left"/>
        <w:rPr>
          <w:sz w:val="18"/>
        </w:rPr>
      </w:pPr>
      <w:r>
        <w:rPr>
          <w:sz w:val="18"/>
        </w:rPr>
        <w:t>127, rue de</w:t>
      </w:r>
      <w:r>
        <w:rPr>
          <w:spacing w:val="-7"/>
          <w:sz w:val="18"/>
        </w:rPr>
        <w:t> </w:t>
      </w:r>
      <w:r>
        <w:rPr>
          <w:sz w:val="18"/>
        </w:rPr>
        <w:t>Grenelle</w:t>
      </w:r>
    </w:p>
    <w:p>
      <w:pPr>
        <w:spacing w:before="122"/>
        <w:ind w:left="785" w:right="0" w:firstLine="0"/>
        <w:jc w:val="left"/>
        <w:rPr>
          <w:sz w:val="18"/>
        </w:rPr>
      </w:pPr>
      <w:r>
        <w:rPr>
          <w:sz w:val="18"/>
        </w:rPr>
        <w:t>75007</w:t>
      </w:r>
      <w:r>
        <w:rPr>
          <w:spacing w:val="-3"/>
          <w:sz w:val="18"/>
        </w:rPr>
        <w:t> </w:t>
      </w:r>
      <w:r>
        <w:rPr>
          <w:sz w:val="18"/>
        </w:rPr>
        <w:t>PARIS</w:t>
      </w:r>
    </w:p>
    <w:p>
      <w:pPr>
        <w:spacing w:after="0"/>
        <w:jc w:val="left"/>
        <w:rPr>
          <w:sz w:val="18"/>
        </w:rPr>
        <w:sectPr>
          <w:pgSz w:w="11910" w:h="16840"/>
          <w:pgMar w:top="1020" w:bottom="280" w:left="1680" w:right="720"/>
          <w:cols w:num="2" w:equalWidth="0">
            <w:col w:w="4391" w:space="3120"/>
            <w:col w:w="1999"/>
          </w:cols>
        </w:sectPr>
      </w:pPr>
    </w:p>
    <w:p>
      <w:pPr>
        <w:pStyle w:val="BodyText"/>
        <w:rPr>
          <w:sz w:val="20"/>
        </w:rPr>
      </w:pPr>
    </w:p>
    <w:p>
      <w:pPr>
        <w:pStyle w:val="BodyText"/>
        <w:spacing w:before="4"/>
        <w:rPr>
          <w:sz w:val="19"/>
        </w:rPr>
      </w:pPr>
    </w:p>
    <w:p>
      <w:pPr>
        <w:spacing w:line="381" w:lineRule="auto" w:before="0"/>
        <w:ind w:left="235" w:right="5138" w:firstLine="0"/>
        <w:jc w:val="left"/>
        <w:rPr>
          <w:b/>
          <w:sz w:val="18"/>
        </w:rPr>
      </w:pPr>
      <w:r>
        <w:rPr>
          <w:b/>
          <w:sz w:val="18"/>
        </w:rPr>
        <w:t>Ministère du Travail, de l'Emploi et de l'Insertion Cabinet de Laurent Pietraszewski</w:t>
      </w:r>
    </w:p>
    <w:p>
      <w:pPr>
        <w:spacing w:before="2"/>
        <w:ind w:left="235" w:right="0" w:firstLine="0"/>
        <w:jc w:val="left"/>
        <w:rPr>
          <w:sz w:val="18"/>
        </w:rPr>
      </w:pPr>
      <w:r>
        <w:rPr>
          <w:sz w:val="18"/>
        </w:rPr>
        <w:t>Tél : 01 49 55 31 79</w:t>
      </w:r>
    </w:p>
    <w:p>
      <w:pPr>
        <w:spacing w:before="122"/>
        <w:ind w:left="235" w:right="0" w:firstLine="0"/>
        <w:jc w:val="left"/>
        <w:rPr>
          <w:sz w:val="18"/>
        </w:rPr>
      </w:pPr>
      <w:r>
        <w:rPr>
          <w:sz w:val="18"/>
        </w:rPr>
        <w:t>Mél : </w:t>
      </w:r>
      <w:hyperlink r:id="rId7">
        <w:r>
          <w:rPr>
            <w:color w:val="0000FF"/>
            <w:sz w:val="18"/>
            <w:u w:val="single" w:color="0000FF"/>
          </w:rPr>
          <w:t>communication-retraites@retraites.gouv.fr</w:t>
        </w:r>
      </w:hyperlink>
    </w:p>
    <w:p>
      <w:pPr>
        <w:pStyle w:val="BodyText"/>
        <w:rPr>
          <w:sz w:val="20"/>
        </w:rPr>
      </w:pPr>
    </w:p>
    <w:p>
      <w:pPr>
        <w:pStyle w:val="BodyText"/>
        <w:rPr>
          <w:sz w:val="20"/>
        </w:rPr>
      </w:pPr>
    </w:p>
    <w:p>
      <w:pPr>
        <w:pStyle w:val="BodyText"/>
        <w:spacing w:before="7"/>
        <w:rPr>
          <w:sz w:val="18"/>
        </w:rPr>
      </w:pPr>
    </w:p>
    <w:p>
      <w:pPr>
        <w:spacing w:line="276" w:lineRule="auto" w:before="0"/>
        <w:ind w:left="286" w:right="167" w:hanging="3"/>
        <w:jc w:val="center"/>
        <w:rPr>
          <w:sz w:val="17"/>
        </w:rPr>
      </w:pPr>
      <w:r>
        <w:rPr>
          <w:sz w:val="17"/>
        </w:rPr>
        <w:t>Conformément à la loi informatique et libertés du 06/01/1978 (art.27) et au Règlement Général sur la Protection des Données (Règlement UE 2016/679) ou « RGPD », vous disposez d'un droit d'accès et de rectification des données vou</w:t>
      </w:r>
      <w:r>
        <w:rPr>
          <w:color w:val="393939"/>
          <w:sz w:val="17"/>
        </w:rPr>
        <w:t>s </w:t>
      </w:r>
      <w:r>
        <w:rPr>
          <w:sz w:val="17"/>
        </w:rPr>
        <w:t>concernant. Vous pouvez exercer vos droits en adressant un e-mail à l’adresse </w:t>
      </w:r>
      <w:hyperlink r:id="rId8">
        <w:r>
          <w:rPr>
            <w:color w:val="0494D5"/>
            <w:sz w:val="17"/>
            <w:u w:val="single" w:color="0494D5"/>
          </w:rPr>
          <w:t>DDC-RGPD-CAB@ddc.social.gouv.fr</w:t>
        </w:r>
        <w:r>
          <w:rPr>
            <w:color w:val="393939"/>
            <w:sz w:val="17"/>
          </w:rPr>
          <w:t>.</w:t>
        </w:r>
      </w:hyperlink>
    </w:p>
    <w:sectPr>
      <w:type w:val="continuous"/>
      <w:pgSz w:w="11910" w:h="16840"/>
      <w:pgMar w:top="1580" w:bottom="280" w:left="16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5" w:hanging="360"/>
      </w:pPr>
      <w:rPr>
        <w:rFonts w:hint="default" w:ascii="Calibri" w:hAnsi="Calibri" w:eastAsia="Calibri" w:cs="Calibri"/>
        <w:w w:val="100"/>
        <w:sz w:val="22"/>
        <w:szCs w:val="22"/>
        <w:lang w:val="fr-FR" w:eastAsia="fr-FR" w:bidi="fr-FR"/>
      </w:rPr>
    </w:lvl>
    <w:lvl w:ilvl="1">
      <w:start w:val="0"/>
      <w:numFmt w:val="bullet"/>
      <w:lvlText w:val="•"/>
      <w:lvlJc w:val="left"/>
      <w:pPr>
        <w:ind w:left="1814" w:hanging="360"/>
      </w:pPr>
      <w:rPr>
        <w:rFonts w:hint="default"/>
        <w:lang w:val="fr-FR" w:eastAsia="fr-FR" w:bidi="fr-FR"/>
      </w:rPr>
    </w:lvl>
    <w:lvl w:ilvl="2">
      <w:start w:val="0"/>
      <w:numFmt w:val="bullet"/>
      <w:lvlText w:val="•"/>
      <w:lvlJc w:val="left"/>
      <w:pPr>
        <w:ind w:left="2669" w:hanging="360"/>
      </w:pPr>
      <w:rPr>
        <w:rFonts w:hint="default"/>
        <w:lang w:val="fr-FR" w:eastAsia="fr-FR" w:bidi="fr-FR"/>
      </w:rPr>
    </w:lvl>
    <w:lvl w:ilvl="3">
      <w:start w:val="0"/>
      <w:numFmt w:val="bullet"/>
      <w:lvlText w:val="•"/>
      <w:lvlJc w:val="left"/>
      <w:pPr>
        <w:ind w:left="3523" w:hanging="360"/>
      </w:pPr>
      <w:rPr>
        <w:rFonts w:hint="default"/>
        <w:lang w:val="fr-FR" w:eastAsia="fr-FR" w:bidi="fr-FR"/>
      </w:rPr>
    </w:lvl>
    <w:lvl w:ilvl="4">
      <w:start w:val="0"/>
      <w:numFmt w:val="bullet"/>
      <w:lvlText w:val="•"/>
      <w:lvlJc w:val="left"/>
      <w:pPr>
        <w:ind w:left="4378" w:hanging="360"/>
      </w:pPr>
      <w:rPr>
        <w:rFonts w:hint="default"/>
        <w:lang w:val="fr-FR" w:eastAsia="fr-FR" w:bidi="fr-FR"/>
      </w:rPr>
    </w:lvl>
    <w:lvl w:ilvl="5">
      <w:start w:val="0"/>
      <w:numFmt w:val="bullet"/>
      <w:lvlText w:val="•"/>
      <w:lvlJc w:val="left"/>
      <w:pPr>
        <w:ind w:left="5233" w:hanging="360"/>
      </w:pPr>
      <w:rPr>
        <w:rFonts w:hint="default"/>
        <w:lang w:val="fr-FR" w:eastAsia="fr-FR" w:bidi="fr-FR"/>
      </w:rPr>
    </w:lvl>
    <w:lvl w:ilvl="6">
      <w:start w:val="0"/>
      <w:numFmt w:val="bullet"/>
      <w:lvlText w:val="•"/>
      <w:lvlJc w:val="left"/>
      <w:pPr>
        <w:ind w:left="6087" w:hanging="360"/>
      </w:pPr>
      <w:rPr>
        <w:rFonts w:hint="default"/>
        <w:lang w:val="fr-FR" w:eastAsia="fr-FR" w:bidi="fr-FR"/>
      </w:rPr>
    </w:lvl>
    <w:lvl w:ilvl="7">
      <w:start w:val="0"/>
      <w:numFmt w:val="bullet"/>
      <w:lvlText w:val="•"/>
      <w:lvlJc w:val="left"/>
      <w:pPr>
        <w:ind w:left="6942" w:hanging="360"/>
      </w:pPr>
      <w:rPr>
        <w:rFonts w:hint="default"/>
        <w:lang w:val="fr-FR" w:eastAsia="fr-FR" w:bidi="fr-FR"/>
      </w:rPr>
    </w:lvl>
    <w:lvl w:ilvl="8">
      <w:start w:val="0"/>
      <w:numFmt w:val="bullet"/>
      <w:lvlText w:val="•"/>
      <w:lvlJc w:val="left"/>
      <w:pPr>
        <w:ind w:left="7797" w:hanging="360"/>
      </w:pPr>
      <w:rPr>
        <w:rFonts w:hint="default"/>
        <w:lang w:val="fr-FR" w:eastAsia="fr-FR" w:bidi="fr-F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235"/>
      <w:outlineLvl w:val="1"/>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955" w:right="125" w:hanging="360"/>
    </w:pPr>
    <w:rPr>
      <w:rFonts w:ascii="Arial" w:hAnsi="Arial" w:eastAsia="Arial" w:cs="Arial"/>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sec.presse.travail@cab.travail.gouv.fr" TargetMode="External"/><Relationship Id="rId7" Type="http://schemas.openxmlformats.org/officeDocument/2006/relationships/hyperlink" Target="mailto:communication-retraites@retraites.gouv.fr" TargetMode="External"/><Relationship Id="rId8" Type="http://schemas.openxmlformats.org/officeDocument/2006/relationships/hyperlink" Target="mailto:DDC-RGPD-CAB@ddc.social.gouv.f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GLERANT, Justine (CAB/TRAVAIL)</dc:creator>
  <dcterms:created xsi:type="dcterms:W3CDTF">2021-02-02T15:50:23Z</dcterms:created>
  <dcterms:modified xsi:type="dcterms:W3CDTF">2021-02-02T15:50:23Z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2016</vt:lpwstr>
  </property>
  <property fmtid="{D5CDD505-2E9C-101B-9397-08002B2CF9AE}" pid="4" name="LastSaved">
    <vt:filetime>2021-02-02T00:00:00Z</vt:filetime>
  </property>
</Properties>
</file>