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82E" w:rsidRDefault="005F782E">
      <w:pPr>
        <w:spacing w:after="0" w:line="265" w:lineRule="auto"/>
        <w:ind w:left="31" w:hanging="10"/>
        <w:jc w:val="center"/>
        <w:rPr>
          <w:rFonts w:ascii="Arial" w:eastAsia="Arial" w:hAnsi="Arial" w:cs="Arial"/>
          <w:sz w:val="16"/>
        </w:rPr>
      </w:pPr>
    </w:p>
    <w:p w:rsidR="00341B71" w:rsidRDefault="005F782E">
      <w:pPr>
        <w:spacing w:after="0" w:line="265" w:lineRule="auto"/>
        <w:ind w:left="31" w:hanging="10"/>
        <w:jc w:val="center"/>
      </w:pPr>
      <w:bookmarkStart w:id="0" w:name="_GoBack"/>
      <w:bookmarkEnd w:id="0"/>
      <w:r>
        <w:rPr>
          <w:rFonts w:ascii="Arial" w:eastAsia="Arial" w:hAnsi="Arial" w:cs="Arial"/>
          <w:color w:val="156BA5"/>
          <w:sz w:val="20"/>
        </w:rPr>
        <w:t xml:space="preserve">Si vous avez des difficultés à visualiser cet email, </w:t>
      </w:r>
      <w:r>
        <w:rPr>
          <w:rFonts w:ascii="Arial" w:eastAsia="Arial" w:hAnsi="Arial" w:cs="Arial"/>
          <w:color w:val="156BA5"/>
          <w:sz w:val="20"/>
          <w:u w:val="single" w:color="156BA5"/>
        </w:rPr>
        <w:t>suivez ce lien</w:t>
      </w:r>
    </w:p>
    <w:p w:rsidR="00341B71" w:rsidRDefault="005F782E">
      <w:pPr>
        <w:spacing w:after="0"/>
        <w:ind w:left="554"/>
      </w:pPr>
      <w:r>
        <w:rPr>
          <w:rFonts w:ascii="Times New Roman" w:eastAsia="Times New Roman" w:hAnsi="Times New Roman" w:cs="Times New Roman"/>
          <w:sz w:val="15"/>
        </w:rPr>
        <w:t xml:space="preserve"> </w:t>
      </w:r>
    </w:p>
    <w:p w:rsidR="00341B71" w:rsidRDefault="005F782E">
      <w:pPr>
        <w:spacing w:after="47"/>
        <w:ind w:left="561"/>
      </w:pPr>
      <w:r>
        <w:rPr>
          <w:noProof/>
        </w:rPr>
        <w:drawing>
          <wp:inline distT="0" distB="0" distL="0" distR="0">
            <wp:extent cx="1496120" cy="1238826"/>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4"/>
                    <a:stretch>
                      <a:fillRect/>
                    </a:stretch>
                  </pic:blipFill>
                  <pic:spPr>
                    <a:xfrm>
                      <a:off x="0" y="0"/>
                      <a:ext cx="1496120" cy="1238826"/>
                    </a:xfrm>
                    <a:prstGeom prst="rect">
                      <a:avLst/>
                    </a:prstGeom>
                  </pic:spPr>
                </pic:pic>
              </a:graphicData>
            </a:graphic>
          </wp:inline>
        </w:drawing>
      </w:r>
    </w:p>
    <w:p w:rsidR="00341B71" w:rsidRDefault="005F782E">
      <w:pPr>
        <w:spacing w:after="0"/>
        <w:ind w:left="21"/>
        <w:jc w:val="center"/>
      </w:pPr>
      <w:r>
        <w:rPr>
          <w:rFonts w:ascii="Times New Roman" w:eastAsia="Times New Roman" w:hAnsi="Times New Roman" w:cs="Times New Roman"/>
          <w:sz w:val="30"/>
        </w:rPr>
        <w:t xml:space="preserve"> </w:t>
      </w:r>
    </w:p>
    <w:tbl>
      <w:tblPr>
        <w:tblStyle w:val="TableGrid"/>
        <w:tblW w:w="8964" w:type="dxa"/>
        <w:tblInd w:w="858" w:type="dxa"/>
        <w:tblCellMar>
          <w:top w:w="0" w:type="dxa"/>
          <w:left w:w="0" w:type="dxa"/>
          <w:bottom w:w="0" w:type="dxa"/>
          <w:right w:w="0" w:type="dxa"/>
        </w:tblCellMar>
        <w:tblLook w:val="04A0" w:firstRow="1" w:lastRow="0" w:firstColumn="1" w:lastColumn="0" w:noHBand="0" w:noVBand="1"/>
      </w:tblPr>
      <w:tblGrid>
        <w:gridCol w:w="3006"/>
        <w:gridCol w:w="3690"/>
        <w:gridCol w:w="2268"/>
      </w:tblGrid>
      <w:tr w:rsidR="00341B71">
        <w:trPr>
          <w:trHeight w:val="3567"/>
        </w:trPr>
        <w:tc>
          <w:tcPr>
            <w:tcW w:w="3006" w:type="dxa"/>
            <w:tcBorders>
              <w:top w:val="nil"/>
              <w:left w:val="nil"/>
              <w:bottom w:val="nil"/>
              <w:right w:val="nil"/>
            </w:tcBorders>
          </w:tcPr>
          <w:p w:rsidR="00341B71" w:rsidRDefault="005F782E">
            <w:pPr>
              <w:spacing w:after="73"/>
              <w:ind w:left="333"/>
            </w:pPr>
            <w:r>
              <w:rPr>
                <w:rFonts w:ascii="Arial" w:eastAsia="Arial" w:hAnsi="Arial" w:cs="Arial"/>
                <w:b/>
                <w:sz w:val="26"/>
              </w:rPr>
              <w:t>Élisabeth Borne</w:t>
            </w:r>
            <w:r>
              <w:rPr>
                <w:rFonts w:ascii="Arial" w:eastAsia="Arial" w:hAnsi="Arial" w:cs="Arial"/>
                <w:color w:val="393939"/>
                <w:sz w:val="26"/>
              </w:rPr>
              <w:t xml:space="preserve"> </w:t>
            </w:r>
          </w:p>
          <w:p w:rsidR="00341B71" w:rsidRDefault="005F782E">
            <w:pPr>
              <w:spacing w:after="0"/>
              <w:ind w:firstLine="89"/>
            </w:pPr>
            <w:r>
              <w:rPr>
                <w:rFonts w:ascii="Arial" w:eastAsia="Arial" w:hAnsi="Arial" w:cs="Arial"/>
                <w:color w:val="393939"/>
                <w:sz w:val="26"/>
              </w:rPr>
              <w:t>Ministre du Travail, de l'Emploi et de l'Insertion</w:t>
            </w:r>
          </w:p>
        </w:tc>
        <w:tc>
          <w:tcPr>
            <w:tcW w:w="3690" w:type="dxa"/>
            <w:tcBorders>
              <w:top w:val="nil"/>
              <w:left w:val="nil"/>
              <w:bottom w:val="nil"/>
              <w:right w:val="nil"/>
            </w:tcBorders>
          </w:tcPr>
          <w:p w:rsidR="00341B71" w:rsidRDefault="005F782E">
            <w:pPr>
              <w:spacing w:after="73"/>
              <w:ind w:left="633"/>
            </w:pPr>
            <w:r>
              <w:rPr>
                <w:rFonts w:ascii="Arial" w:eastAsia="Arial" w:hAnsi="Arial" w:cs="Arial"/>
                <w:b/>
                <w:sz w:val="26"/>
              </w:rPr>
              <w:t xml:space="preserve">Brigitte </w:t>
            </w:r>
            <w:proofErr w:type="spellStart"/>
            <w:r>
              <w:rPr>
                <w:rFonts w:ascii="Arial" w:eastAsia="Arial" w:hAnsi="Arial" w:cs="Arial"/>
                <w:b/>
                <w:sz w:val="26"/>
              </w:rPr>
              <w:t>Klinkert</w:t>
            </w:r>
            <w:proofErr w:type="spellEnd"/>
          </w:p>
          <w:p w:rsidR="00341B71" w:rsidRDefault="005F782E" w:rsidP="005F782E">
            <w:pPr>
              <w:spacing w:after="600" w:line="319" w:lineRule="auto"/>
              <w:ind w:left="392" w:right="753" w:firstLine="85"/>
              <w:jc w:val="center"/>
            </w:pPr>
            <w:r>
              <w:rPr>
                <w:rFonts w:ascii="Arial" w:eastAsia="Arial" w:hAnsi="Arial" w:cs="Arial"/>
                <w:color w:val="393939"/>
                <w:sz w:val="26"/>
              </w:rPr>
              <w:t>Ministre déléguée à l’insertion Auprès de la ministre du travail, de l’emploi et de l’insertion</w:t>
            </w:r>
          </w:p>
          <w:p w:rsidR="00341B71" w:rsidRDefault="005F782E">
            <w:pPr>
              <w:spacing w:after="77"/>
            </w:pPr>
            <w:r>
              <w:rPr>
                <w:rFonts w:ascii="Arial" w:eastAsia="Arial" w:hAnsi="Arial" w:cs="Arial"/>
                <w:b/>
                <w:sz w:val="24"/>
              </w:rPr>
              <w:t>COMMUNIQUÉ DE PRESSE</w:t>
            </w:r>
          </w:p>
          <w:p w:rsidR="00341B71" w:rsidRDefault="005F782E">
            <w:pPr>
              <w:spacing w:after="0"/>
              <w:ind w:left="1530"/>
            </w:pPr>
            <w:r>
              <w:rPr>
                <w:rFonts w:ascii="Times New Roman" w:eastAsia="Times New Roman" w:hAnsi="Times New Roman" w:cs="Times New Roman"/>
                <w:sz w:val="30"/>
              </w:rPr>
              <w:t xml:space="preserve"> </w:t>
            </w:r>
          </w:p>
        </w:tc>
        <w:tc>
          <w:tcPr>
            <w:tcW w:w="2268" w:type="dxa"/>
            <w:tcBorders>
              <w:top w:val="nil"/>
              <w:left w:val="nil"/>
              <w:bottom w:val="nil"/>
              <w:right w:val="nil"/>
            </w:tcBorders>
          </w:tcPr>
          <w:p w:rsidR="00341B71" w:rsidRDefault="005F782E">
            <w:pPr>
              <w:spacing w:after="73"/>
              <w:ind w:left="206"/>
            </w:pPr>
            <w:r>
              <w:rPr>
                <w:rFonts w:ascii="Arial" w:eastAsia="Arial" w:hAnsi="Arial" w:cs="Arial"/>
                <w:b/>
                <w:sz w:val="26"/>
              </w:rPr>
              <w:t xml:space="preserve">Thibaut </w:t>
            </w:r>
            <w:proofErr w:type="spellStart"/>
            <w:r>
              <w:rPr>
                <w:rFonts w:ascii="Arial" w:eastAsia="Arial" w:hAnsi="Arial" w:cs="Arial"/>
                <w:b/>
                <w:sz w:val="26"/>
              </w:rPr>
              <w:t>Guilluy</w:t>
            </w:r>
            <w:proofErr w:type="spellEnd"/>
          </w:p>
          <w:p w:rsidR="00341B71" w:rsidRDefault="005F782E" w:rsidP="005F782E">
            <w:pPr>
              <w:spacing w:after="73"/>
              <w:jc w:val="center"/>
            </w:pPr>
            <w:r>
              <w:rPr>
                <w:rFonts w:ascii="Arial" w:eastAsia="Arial" w:hAnsi="Arial" w:cs="Arial"/>
                <w:color w:val="393939"/>
                <w:sz w:val="26"/>
              </w:rPr>
              <w:t>Haut-commissaire à</w:t>
            </w:r>
          </w:p>
          <w:p w:rsidR="00341B71" w:rsidRDefault="005F782E" w:rsidP="005F782E">
            <w:pPr>
              <w:spacing w:after="73"/>
              <w:jc w:val="center"/>
            </w:pPr>
            <w:proofErr w:type="gramStart"/>
            <w:r>
              <w:rPr>
                <w:rFonts w:ascii="Arial" w:eastAsia="Arial" w:hAnsi="Arial" w:cs="Arial"/>
                <w:color w:val="393939"/>
                <w:sz w:val="26"/>
              </w:rPr>
              <w:t>l'emploi</w:t>
            </w:r>
            <w:proofErr w:type="gramEnd"/>
            <w:r>
              <w:rPr>
                <w:rFonts w:ascii="Arial" w:eastAsia="Arial" w:hAnsi="Arial" w:cs="Arial"/>
                <w:color w:val="393939"/>
                <w:sz w:val="26"/>
              </w:rPr>
              <w:t xml:space="preserve"> et à</w:t>
            </w:r>
          </w:p>
          <w:p w:rsidR="00341B71" w:rsidRDefault="005F782E" w:rsidP="005F782E">
            <w:pPr>
              <w:spacing w:after="0"/>
              <w:jc w:val="center"/>
            </w:pPr>
            <w:r>
              <w:rPr>
                <w:rFonts w:ascii="Arial" w:eastAsia="Arial" w:hAnsi="Arial" w:cs="Arial"/>
                <w:color w:val="393939"/>
                <w:sz w:val="26"/>
              </w:rPr>
              <w:t>l'engagement des entreprises</w:t>
            </w:r>
          </w:p>
        </w:tc>
      </w:tr>
    </w:tbl>
    <w:p w:rsidR="00341B71" w:rsidRDefault="005F782E">
      <w:pPr>
        <w:spacing w:after="711"/>
        <w:ind w:right="833"/>
        <w:jc w:val="right"/>
      </w:pPr>
      <w:r>
        <w:rPr>
          <w:rFonts w:ascii="Arial" w:eastAsia="Arial" w:hAnsi="Arial" w:cs="Arial"/>
          <w:sz w:val="23"/>
        </w:rPr>
        <w:t>Paris, le 17 mars 2022</w:t>
      </w:r>
    </w:p>
    <w:p w:rsidR="00341B71" w:rsidRDefault="005F782E">
      <w:pPr>
        <w:spacing w:after="600" w:line="319" w:lineRule="auto"/>
        <w:ind w:left="854" w:right="844"/>
        <w:jc w:val="both"/>
      </w:pPr>
      <w:r>
        <w:rPr>
          <w:rFonts w:ascii="Arial" w:eastAsia="Arial" w:hAnsi="Arial" w:cs="Arial"/>
          <w:b/>
          <w:color w:val="393939"/>
          <w:sz w:val="26"/>
        </w:rPr>
        <w:t xml:space="preserve">Signature prochaine d’une convention de partenariat avec le groupe </w:t>
      </w:r>
      <w:proofErr w:type="spellStart"/>
      <w:r>
        <w:rPr>
          <w:rFonts w:ascii="Arial" w:eastAsia="Arial" w:hAnsi="Arial" w:cs="Arial"/>
          <w:b/>
          <w:color w:val="393939"/>
          <w:sz w:val="26"/>
        </w:rPr>
        <w:t>Kering</w:t>
      </w:r>
      <w:proofErr w:type="spellEnd"/>
      <w:r>
        <w:rPr>
          <w:rFonts w:ascii="Arial" w:eastAsia="Arial" w:hAnsi="Arial" w:cs="Arial"/>
          <w:b/>
          <w:color w:val="393939"/>
          <w:sz w:val="26"/>
        </w:rPr>
        <w:t xml:space="preserve"> pour l’insertion des jeunes, des personnes vulnérables ou en situation de handicap.</w:t>
      </w:r>
    </w:p>
    <w:p w:rsidR="00341B71" w:rsidRDefault="005F782E">
      <w:pPr>
        <w:spacing w:after="0" w:line="362" w:lineRule="auto"/>
        <w:ind w:left="849" w:right="821" w:hanging="10"/>
        <w:jc w:val="both"/>
      </w:pPr>
      <w:r>
        <w:rPr>
          <w:rFonts w:ascii="Arial" w:eastAsia="Arial" w:hAnsi="Arial" w:cs="Arial"/>
          <w:color w:val="393939"/>
          <w:sz w:val="23"/>
        </w:rPr>
        <w:t xml:space="preserve">Le ministère du Travail de l'Emploi et de l'Insertion, le haut-commissariat à l’emploi et à l’engagement des entreprises annoncent la prochaine signature d’une convention de partenariat avec le groupe </w:t>
      </w:r>
      <w:proofErr w:type="spellStart"/>
      <w:r>
        <w:rPr>
          <w:rFonts w:ascii="Arial" w:eastAsia="Arial" w:hAnsi="Arial" w:cs="Arial"/>
          <w:color w:val="393939"/>
          <w:sz w:val="23"/>
        </w:rPr>
        <w:t>Kering</w:t>
      </w:r>
      <w:proofErr w:type="spellEnd"/>
      <w:r>
        <w:rPr>
          <w:rFonts w:ascii="Arial" w:eastAsia="Arial" w:hAnsi="Arial" w:cs="Arial"/>
          <w:color w:val="393939"/>
          <w:sz w:val="23"/>
        </w:rPr>
        <w:t xml:space="preserve"> qui s’engage à mener des actions concrètes pour </w:t>
      </w:r>
      <w:r>
        <w:rPr>
          <w:rFonts w:ascii="Arial" w:eastAsia="Arial" w:hAnsi="Arial" w:cs="Arial"/>
          <w:color w:val="393939"/>
          <w:sz w:val="23"/>
        </w:rPr>
        <w:t xml:space="preserve">l’emploi </w:t>
      </w:r>
      <w:proofErr w:type="gramStart"/>
      <w:r>
        <w:rPr>
          <w:rFonts w:ascii="Arial" w:eastAsia="Arial" w:hAnsi="Arial" w:cs="Arial"/>
          <w:color w:val="393939"/>
          <w:sz w:val="23"/>
        </w:rPr>
        <w:t>des</w:t>
      </w:r>
      <w:proofErr w:type="gramEnd"/>
      <w:r>
        <w:rPr>
          <w:rFonts w:ascii="Arial" w:eastAsia="Arial" w:hAnsi="Arial" w:cs="Arial"/>
          <w:color w:val="393939"/>
          <w:sz w:val="23"/>
        </w:rPr>
        <w:t xml:space="preserve"> jeunes et pour l’accès des personnes en situation de handicap à ses métiers : recrutements, alternances, mentorats, immersions dans le cadre du contrat d’engagement jeune…</w:t>
      </w:r>
    </w:p>
    <w:p w:rsidR="00341B71" w:rsidRDefault="005F782E">
      <w:pPr>
        <w:spacing w:after="73"/>
        <w:ind w:left="854"/>
      </w:pPr>
      <w:r>
        <w:rPr>
          <w:rFonts w:ascii="Arial" w:eastAsia="Arial" w:hAnsi="Arial" w:cs="Arial"/>
          <w:color w:val="393939"/>
          <w:sz w:val="26"/>
        </w:rPr>
        <w:t xml:space="preserve"> </w:t>
      </w:r>
    </w:p>
    <w:p w:rsidR="00341B71" w:rsidRDefault="005F782E">
      <w:pPr>
        <w:spacing w:after="0" w:line="362" w:lineRule="auto"/>
        <w:ind w:left="849" w:right="821" w:hanging="10"/>
        <w:jc w:val="both"/>
      </w:pPr>
      <w:proofErr w:type="spellStart"/>
      <w:r>
        <w:rPr>
          <w:rFonts w:ascii="Arial" w:eastAsia="Arial" w:hAnsi="Arial" w:cs="Arial"/>
          <w:color w:val="393939"/>
          <w:sz w:val="23"/>
        </w:rPr>
        <w:t>Kering</w:t>
      </w:r>
      <w:proofErr w:type="spellEnd"/>
      <w:r>
        <w:rPr>
          <w:rFonts w:ascii="Arial" w:eastAsia="Arial" w:hAnsi="Arial" w:cs="Arial"/>
          <w:color w:val="393939"/>
          <w:sz w:val="23"/>
        </w:rPr>
        <w:t xml:space="preserve"> est un groupe de Luxe mondial qui regroupe un ensemble de Maisons emblématiques dans la Mode, la Maroquinerie et la Joaillerie : Gucci, Saint Laurent, </w:t>
      </w:r>
      <w:proofErr w:type="spellStart"/>
      <w:r>
        <w:rPr>
          <w:rFonts w:ascii="Arial" w:eastAsia="Arial" w:hAnsi="Arial" w:cs="Arial"/>
          <w:color w:val="393939"/>
          <w:sz w:val="23"/>
        </w:rPr>
        <w:t>Bottega</w:t>
      </w:r>
      <w:proofErr w:type="spellEnd"/>
      <w:r>
        <w:rPr>
          <w:rFonts w:ascii="Arial" w:eastAsia="Arial" w:hAnsi="Arial" w:cs="Arial"/>
          <w:color w:val="393939"/>
          <w:sz w:val="23"/>
        </w:rPr>
        <w:t xml:space="preserve"> </w:t>
      </w:r>
      <w:proofErr w:type="spellStart"/>
      <w:r>
        <w:rPr>
          <w:rFonts w:ascii="Arial" w:eastAsia="Arial" w:hAnsi="Arial" w:cs="Arial"/>
          <w:color w:val="393939"/>
          <w:sz w:val="23"/>
        </w:rPr>
        <w:t>Veneta</w:t>
      </w:r>
      <w:proofErr w:type="spellEnd"/>
      <w:r>
        <w:rPr>
          <w:rFonts w:ascii="Arial" w:eastAsia="Arial" w:hAnsi="Arial" w:cs="Arial"/>
          <w:color w:val="393939"/>
          <w:sz w:val="23"/>
        </w:rPr>
        <w:t xml:space="preserve">, Balenciaga, Alexander McQueen, </w:t>
      </w:r>
      <w:proofErr w:type="spellStart"/>
      <w:r>
        <w:rPr>
          <w:rFonts w:ascii="Arial" w:eastAsia="Arial" w:hAnsi="Arial" w:cs="Arial"/>
          <w:color w:val="393939"/>
          <w:sz w:val="23"/>
        </w:rPr>
        <w:t>Brioni</w:t>
      </w:r>
      <w:proofErr w:type="spellEnd"/>
      <w:r>
        <w:rPr>
          <w:rFonts w:ascii="Arial" w:eastAsia="Arial" w:hAnsi="Arial" w:cs="Arial"/>
          <w:color w:val="393939"/>
          <w:sz w:val="23"/>
        </w:rPr>
        <w:t xml:space="preserve">, Boucheron, </w:t>
      </w:r>
      <w:proofErr w:type="spellStart"/>
      <w:r>
        <w:rPr>
          <w:rFonts w:ascii="Arial" w:eastAsia="Arial" w:hAnsi="Arial" w:cs="Arial"/>
          <w:color w:val="393939"/>
          <w:sz w:val="23"/>
        </w:rPr>
        <w:t>Pomellato</w:t>
      </w:r>
      <w:proofErr w:type="spellEnd"/>
      <w:r>
        <w:rPr>
          <w:rFonts w:ascii="Arial" w:eastAsia="Arial" w:hAnsi="Arial" w:cs="Arial"/>
          <w:color w:val="393939"/>
          <w:sz w:val="23"/>
        </w:rPr>
        <w:t xml:space="preserve">, Dodo, </w:t>
      </w:r>
      <w:proofErr w:type="spellStart"/>
      <w:r>
        <w:rPr>
          <w:rFonts w:ascii="Arial" w:eastAsia="Arial" w:hAnsi="Arial" w:cs="Arial"/>
          <w:color w:val="393939"/>
          <w:sz w:val="23"/>
        </w:rPr>
        <w:t>Qeelin</w:t>
      </w:r>
      <w:proofErr w:type="spellEnd"/>
      <w:r>
        <w:rPr>
          <w:rFonts w:ascii="Arial" w:eastAsia="Arial" w:hAnsi="Arial" w:cs="Arial"/>
          <w:color w:val="393939"/>
          <w:sz w:val="23"/>
        </w:rPr>
        <w:t>, ainsi q</w:t>
      </w:r>
      <w:r>
        <w:rPr>
          <w:rFonts w:ascii="Arial" w:eastAsia="Arial" w:hAnsi="Arial" w:cs="Arial"/>
          <w:color w:val="393939"/>
          <w:sz w:val="23"/>
        </w:rPr>
        <w:t xml:space="preserve">ue </w:t>
      </w:r>
      <w:proofErr w:type="spellStart"/>
      <w:r>
        <w:rPr>
          <w:rFonts w:ascii="Arial" w:eastAsia="Arial" w:hAnsi="Arial" w:cs="Arial"/>
          <w:color w:val="393939"/>
          <w:sz w:val="23"/>
        </w:rPr>
        <w:t>Kering</w:t>
      </w:r>
      <w:proofErr w:type="spellEnd"/>
      <w:r>
        <w:rPr>
          <w:rFonts w:ascii="Arial" w:eastAsia="Arial" w:hAnsi="Arial" w:cs="Arial"/>
          <w:color w:val="393939"/>
          <w:sz w:val="23"/>
        </w:rPr>
        <w:t xml:space="preserve"> </w:t>
      </w:r>
      <w:proofErr w:type="spellStart"/>
      <w:r>
        <w:rPr>
          <w:rFonts w:ascii="Arial" w:eastAsia="Arial" w:hAnsi="Arial" w:cs="Arial"/>
          <w:color w:val="393939"/>
          <w:sz w:val="23"/>
        </w:rPr>
        <w:t>Eyewear</w:t>
      </w:r>
      <w:proofErr w:type="spellEnd"/>
      <w:r>
        <w:rPr>
          <w:rFonts w:ascii="Arial" w:eastAsia="Arial" w:hAnsi="Arial" w:cs="Arial"/>
          <w:color w:val="393939"/>
          <w:sz w:val="23"/>
        </w:rPr>
        <w:t xml:space="preserve">. En 2021, </w:t>
      </w:r>
      <w:proofErr w:type="spellStart"/>
      <w:r>
        <w:rPr>
          <w:rFonts w:ascii="Arial" w:eastAsia="Arial" w:hAnsi="Arial" w:cs="Arial"/>
          <w:color w:val="393939"/>
          <w:sz w:val="23"/>
        </w:rPr>
        <w:t>Kering</w:t>
      </w:r>
      <w:proofErr w:type="spellEnd"/>
      <w:r>
        <w:rPr>
          <w:rFonts w:ascii="Arial" w:eastAsia="Arial" w:hAnsi="Arial" w:cs="Arial"/>
          <w:color w:val="393939"/>
          <w:sz w:val="23"/>
        </w:rPr>
        <w:t xml:space="preserve"> comptait plus de 42 000 collaborateurs.</w:t>
      </w:r>
    </w:p>
    <w:p w:rsidR="00341B71" w:rsidRDefault="005F782E">
      <w:pPr>
        <w:spacing w:after="761"/>
        <w:ind w:left="854"/>
        <w:rPr>
          <w:rFonts w:ascii="Arial" w:eastAsia="Arial" w:hAnsi="Arial" w:cs="Arial"/>
          <w:color w:val="393939"/>
          <w:sz w:val="26"/>
        </w:rPr>
      </w:pPr>
      <w:r>
        <w:rPr>
          <w:rFonts w:ascii="Arial" w:eastAsia="Arial" w:hAnsi="Arial" w:cs="Arial"/>
          <w:color w:val="393939"/>
          <w:sz w:val="26"/>
        </w:rPr>
        <w:t xml:space="preserve"> </w:t>
      </w:r>
    </w:p>
    <w:p w:rsidR="005F782E" w:rsidRDefault="005F782E">
      <w:pPr>
        <w:spacing w:after="761"/>
        <w:ind w:left="854"/>
      </w:pPr>
    </w:p>
    <w:p w:rsidR="00341B71" w:rsidRDefault="005F782E">
      <w:pPr>
        <w:spacing w:after="0" w:line="362" w:lineRule="auto"/>
        <w:ind w:left="849" w:right="821" w:hanging="10"/>
        <w:jc w:val="both"/>
      </w:pPr>
      <w:r>
        <w:rPr>
          <w:rFonts w:ascii="Arial" w:eastAsia="Arial" w:hAnsi="Arial" w:cs="Arial"/>
          <w:b/>
          <w:color w:val="393939"/>
          <w:sz w:val="23"/>
        </w:rPr>
        <w:lastRenderedPageBreak/>
        <w:t xml:space="preserve">Brigitte </w:t>
      </w:r>
      <w:proofErr w:type="spellStart"/>
      <w:r>
        <w:rPr>
          <w:rFonts w:ascii="Arial" w:eastAsia="Arial" w:hAnsi="Arial" w:cs="Arial"/>
          <w:b/>
          <w:color w:val="393939"/>
          <w:sz w:val="23"/>
        </w:rPr>
        <w:t>Klinkert</w:t>
      </w:r>
      <w:proofErr w:type="spellEnd"/>
      <w:r>
        <w:rPr>
          <w:rFonts w:ascii="Arial" w:eastAsia="Arial" w:hAnsi="Arial" w:cs="Arial"/>
          <w:b/>
          <w:color w:val="393939"/>
          <w:sz w:val="23"/>
        </w:rPr>
        <w:t>,</w:t>
      </w:r>
      <w:r>
        <w:rPr>
          <w:rFonts w:ascii="Arial" w:eastAsia="Arial" w:hAnsi="Arial" w:cs="Arial"/>
          <w:color w:val="393939"/>
          <w:sz w:val="23"/>
        </w:rPr>
        <w:t xml:space="preserve"> ministre déléguée, chargée de l’Insertion, déclare : </w:t>
      </w:r>
      <w:r>
        <w:rPr>
          <w:rFonts w:ascii="Arial" w:eastAsia="Arial" w:hAnsi="Arial" w:cs="Arial"/>
          <w:i/>
          <w:color w:val="393939"/>
          <w:sz w:val="23"/>
        </w:rPr>
        <w:t xml:space="preserve">« L’engagement volontariste d’un grand groupe comme </w:t>
      </w:r>
      <w:proofErr w:type="spellStart"/>
      <w:r>
        <w:rPr>
          <w:rFonts w:ascii="Arial" w:eastAsia="Arial" w:hAnsi="Arial" w:cs="Arial"/>
          <w:i/>
          <w:color w:val="393939"/>
          <w:sz w:val="23"/>
        </w:rPr>
        <w:t>Kering</w:t>
      </w:r>
      <w:proofErr w:type="spellEnd"/>
      <w:r>
        <w:rPr>
          <w:rFonts w:ascii="Arial" w:eastAsia="Arial" w:hAnsi="Arial" w:cs="Arial"/>
          <w:i/>
          <w:color w:val="393939"/>
          <w:sz w:val="23"/>
        </w:rPr>
        <w:t xml:space="preserve"> en faveur de l’inclusion re</w:t>
      </w:r>
      <w:r>
        <w:rPr>
          <w:rFonts w:ascii="Arial" w:eastAsia="Arial" w:hAnsi="Arial" w:cs="Arial"/>
          <w:i/>
          <w:color w:val="393939"/>
          <w:sz w:val="23"/>
        </w:rPr>
        <w:t xml:space="preserve">nforce notre cohésion sociale. L’excellence des savoir-faire français et européens dans chacun des métiers de </w:t>
      </w:r>
      <w:proofErr w:type="spellStart"/>
      <w:r>
        <w:rPr>
          <w:rFonts w:ascii="Arial" w:eastAsia="Arial" w:hAnsi="Arial" w:cs="Arial"/>
          <w:i/>
          <w:color w:val="393939"/>
          <w:sz w:val="23"/>
        </w:rPr>
        <w:t>Kering</w:t>
      </w:r>
      <w:proofErr w:type="spellEnd"/>
      <w:r>
        <w:rPr>
          <w:rFonts w:ascii="Arial" w:eastAsia="Arial" w:hAnsi="Arial" w:cs="Arial"/>
          <w:i/>
          <w:color w:val="393939"/>
          <w:sz w:val="23"/>
        </w:rPr>
        <w:t xml:space="preserve"> peut être une boussole pour beaucoup de jeunes ou de personnes en insertion. »</w:t>
      </w:r>
    </w:p>
    <w:p w:rsidR="00341B71" w:rsidRDefault="005F782E">
      <w:pPr>
        <w:spacing w:after="73"/>
        <w:ind w:left="854"/>
      </w:pPr>
      <w:r>
        <w:rPr>
          <w:rFonts w:ascii="Arial" w:eastAsia="Arial" w:hAnsi="Arial" w:cs="Arial"/>
          <w:color w:val="393939"/>
          <w:sz w:val="26"/>
        </w:rPr>
        <w:t xml:space="preserve"> </w:t>
      </w:r>
    </w:p>
    <w:p w:rsidR="00341B71" w:rsidRDefault="005F782E">
      <w:pPr>
        <w:spacing w:after="0" w:line="362" w:lineRule="auto"/>
        <w:ind w:left="849" w:right="821" w:hanging="10"/>
        <w:jc w:val="both"/>
      </w:pPr>
      <w:r>
        <w:rPr>
          <w:rFonts w:ascii="Arial" w:eastAsia="Arial" w:hAnsi="Arial" w:cs="Arial"/>
          <w:b/>
          <w:color w:val="393939"/>
          <w:sz w:val="23"/>
        </w:rPr>
        <w:t xml:space="preserve">Selon Thibaut </w:t>
      </w:r>
      <w:proofErr w:type="spellStart"/>
      <w:r>
        <w:rPr>
          <w:rFonts w:ascii="Arial" w:eastAsia="Arial" w:hAnsi="Arial" w:cs="Arial"/>
          <w:b/>
          <w:color w:val="393939"/>
          <w:sz w:val="23"/>
        </w:rPr>
        <w:t>Guilluy</w:t>
      </w:r>
      <w:proofErr w:type="spellEnd"/>
      <w:r>
        <w:rPr>
          <w:rFonts w:ascii="Arial" w:eastAsia="Arial" w:hAnsi="Arial" w:cs="Arial"/>
          <w:b/>
          <w:color w:val="393939"/>
          <w:sz w:val="23"/>
        </w:rPr>
        <w:t>,</w:t>
      </w:r>
      <w:r>
        <w:rPr>
          <w:rFonts w:ascii="Arial" w:eastAsia="Arial" w:hAnsi="Arial" w:cs="Arial"/>
          <w:color w:val="393939"/>
          <w:sz w:val="23"/>
        </w:rPr>
        <w:t xml:space="preserve"> Haut-commissaire à l’emploi et à l’</w:t>
      </w:r>
      <w:r>
        <w:rPr>
          <w:rFonts w:ascii="Arial" w:eastAsia="Arial" w:hAnsi="Arial" w:cs="Arial"/>
          <w:color w:val="393939"/>
          <w:sz w:val="23"/>
        </w:rPr>
        <w:t>engagement des entreprises :</w:t>
      </w:r>
      <w:proofErr w:type="gramStart"/>
      <w:r>
        <w:rPr>
          <w:rFonts w:ascii="Arial" w:eastAsia="Arial" w:hAnsi="Arial" w:cs="Arial"/>
          <w:i/>
          <w:color w:val="393939"/>
          <w:sz w:val="23"/>
        </w:rPr>
        <w:t xml:space="preserve">   «</w:t>
      </w:r>
      <w:proofErr w:type="gramEnd"/>
      <w:r>
        <w:rPr>
          <w:rFonts w:ascii="Arial" w:eastAsia="Arial" w:hAnsi="Arial" w:cs="Arial"/>
          <w:i/>
          <w:color w:val="393939"/>
          <w:sz w:val="23"/>
        </w:rPr>
        <w:t xml:space="preserve"> Les entreprises ont un rôle clef à jouer dans la réussite du plan « 1 jeune, 1 solution ». Plus de 30 000 se mobilisent déjà avec « Les entreprises s’engagent pour les jeunes », en prenant des engagements forts et concrets.</w:t>
      </w:r>
      <w:r>
        <w:rPr>
          <w:rFonts w:ascii="Arial" w:eastAsia="Arial" w:hAnsi="Arial" w:cs="Arial"/>
          <w:i/>
          <w:color w:val="393939"/>
          <w:sz w:val="23"/>
        </w:rPr>
        <w:t xml:space="preserve"> Nous nous réjouissons d’accueillir </w:t>
      </w:r>
      <w:proofErr w:type="spellStart"/>
      <w:r>
        <w:rPr>
          <w:rFonts w:ascii="Arial" w:eastAsia="Arial" w:hAnsi="Arial" w:cs="Arial"/>
          <w:i/>
          <w:color w:val="393939"/>
          <w:sz w:val="23"/>
        </w:rPr>
        <w:t>Kering</w:t>
      </w:r>
      <w:proofErr w:type="spellEnd"/>
      <w:r>
        <w:rPr>
          <w:rFonts w:ascii="Arial" w:eastAsia="Arial" w:hAnsi="Arial" w:cs="Arial"/>
          <w:i/>
          <w:color w:val="393939"/>
          <w:sz w:val="23"/>
        </w:rPr>
        <w:t xml:space="preserve"> au sein de cette dynamique et de savoir ce groupe emblématique à nos côtés, notamment en soutien du déploiement du Contrat d’Engagement Jeune. »</w:t>
      </w:r>
    </w:p>
    <w:p w:rsidR="00341B71" w:rsidRDefault="005F782E">
      <w:pPr>
        <w:spacing w:after="73"/>
        <w:ind w:left="854"/>
      </w:pPr>
      <w:r>
        <w:rPr>
          <w:rFonts w:ascii="Arial" w:eastAsia="Arial" w:hAnsi="Arial" w:cs="Arial"/>
          <w:color w:val="393939"/>
          <w:sz w:val="26"/>
        </w:rPr>
        <w:t xml:space="preserve"> </w:t>
      </w:r>
    </w:p>
    <w:p w:rsidR="00341B71" w:rsidRDefault="005F782E">
      <w:pPr>
        <w:spacing w:after="600" w:line="362" w:lineRule="auto"/>
        <w:ind w:left="849" w:right="821" w:hanging="10"/>
        <w:jc w:val="both"/>
      </w:pPr>
      <w:r>
        <w:rPr>
          <w:rFonts w:ascii="Arial" w:eastAsia="Arial" w:hAnsi="Arial" w:cs="Arial"/>
          <w:b/>
          <w:color w:val="393939"/>
          <w:sz w:val="23"/>
        </w:rPr>
        <w:t>Jean-François Palus,</w:t>
      </w:r>
      <w:r>
        <w:rPr>
          <w:rFonts w:ascii="Arial" w:eastAsia="Arial" w:hAnsi="Arial" w:cs="Arial"/>
          <w:color w:val="393939"/>
          <w:sz w:val="23"/>
        </w:rPr>
        <w:t xml:space="preserve"> Directeur général délégué de </w:t>
      </w:r>
      <w:proofErr w:type="spellStart"/>
      <w:r>
        <w:rPr>
          <w:rFonts w:ascii="Arial" w:eastAsia="Arial" w:hAnsi="Arial" w:cs="Arial"/>
          <w:color w:val="393939"/>
          <w:sz w:val="23"/>
        </w:rPr>
        <w:t>Kering</w:t>
      </w:r>
      <w:proofErr w:type="spellEnd"/>
      <w:r>
        <w:rPr>
          <w:rFonts w:ascii="Arial" w:eastAsia="Arial" w:hAnsi="Arial" w:cs="Arial"/>
          <w:color w:val="393939"/>
          <w:sz w:val="23"/>
        </w:rPr>
        <w:t>, a déclar</w:t>
      </w:r>
      <w:r>
        <w:rPr>
          <w:rFonts w:ascii="Arial" w:eastAsia="Arial" w:hAnsi="Arial" w:cs="Arial"/>
          <w:color w:val="393939"/>
          <w:sz w:val="23"/>
        </w:rPr>
        <w:t xml:space="preserve">é : </w:t>
      </w:r>
      <w:r>
        <w:rPr>
          <w:rFonts w:ascii="Arial" w:eastAsia="Arial" w:hAnsi="Arial" w:cs="Arial"/>
          <w:i/>
          <w:color w:val="393939"/>
          <w:sz w:val="23"/>
        </w:rPr>
        <w:t xml:space="preserve">« Chez </w:t>
      </w:r>
      <w:proofErr w:type="spellStart"/>
      <w:r>
        <w:rPr>
          <w:rFonts w:ascii="Arial" w:eastAsia="Arial" w:hAnsi="Arial" w:cs="Arial"/>
          <w:i/>
          <w:color w:val="393939"/>
          <w:sz w:val="23"/>
        </w:rPr>
        <w:t>Kering</w:t>
      </w:r>
      <w:proofErr w:type="spellEnd"/>
      <w:r>
        <w:rPr>
          <w:rFonts w:ascii="Arial" w:eastAsia="Arial" w:hAnsi="Arial" w:cs="Arial"/>
          <w:i/>
          <w:color w:val="393939"/>
          <w:sz w:val="23"/>
        </w:rPr>
        <w:t>, nous plaçons l’inclusion et la diversité au cœur de nos préoccupations. C’est pourquoi nous sommes fiers de signer cette convention en faveur de l’insertion des jeunes, des personnes vulnérables ou en situation de handicap qui nous perme</w:t>
      </w:r>
      <w:r>
        <w:rPr>
          <w:rFonts w:ascii="Arial" w:eastAsia="Arial" w:hAnsi="Arial" w:cs="Arial"/>
          <w:i/>
          <w:color w:val="393939"/>
          <w:sz w:val="23"/>
        </w:rPr>
        <w:t>ttra d’accueillir et de faire grandir de nouveaux talents très prochainement. Nous sommes convaincus que la diversité de nos équipes est source de créativité, d’innovation et de richesse collective et nous sommes heureux de poursuivre notre engagement à tr</w:t>
      </w:r>
      <w:r>
        <w:rPr>
          <w:rFonts w:ascii="Arial" w:eastAsia="Arial" w:hAnsi="Arial" w:cs="Arial"/>
          <w:i/>
          <w:color w:val="393939"/>
          <w:sz w:val="23"/>
        </w:rPr>
        <w:t>avers des actions concrètes comme celle-ci. »</w:t>
      </w:r>
    </w:p>
    <w:p w:rsidR="00341B71" w:rsidRDefault="005F782E">
      <w:pPr>
        <w:spacing w:after="129"/>
        <w:ind w:left="854"/>
      </w:pPr>
      <w:r>
        <w:rPr>
          <w:rFonts w:ascii="Arial" w:eastAsia="Arial" w:hAnsi="Arial" w:cs="Arial"/>
          <w:b/>
          <w:color w:val="393939"/>
          <w:sz w:val="21"/>
        </w:rPr>
        <w:t>Contacts presse :</w:t>
      </w:r>
    </w:p>
    <w:p w:rsidR="00341B71" w:rsidRDefault="005F782E">
      <w:pPr>
        <w:spacing w:after="129"/>
        <w:ind w:left="849" w:right="6762" w:hanging="10"/>
      </w:pPr>
      <w:r>
        <w:rPr>
          <w:rFonts w:ascii="Arial" w:eastAsia="Arial" w:hAnsi="Arial" w:cs="Arial"/>
          <w:color w:val="393939"/>
          <w:sz w:val="21"/>
        </w:rPr>
        <w:t>Cabinet de Élisabeth Borne :</w:t>
      </w:r>
    </w:p>
    <w:p w:rsidR="00341B71" w:rsidRDefault="005F782E">
      <w:pPr>
        <w:spacing w:after="0" w:line="388" w:lineRule="auto"/>
        <w:ind w:left="849" w:right="5201" w:hanging="10"/>
      </w:pPr>
      <w:r>
        <w:rPr>
          <w:rFonts w:ascii="Arial" w:eastAsia="Arial" w:hAnsi="Arial" w:cs="Arial"/>
          <w:color w:val="393939"/>
          <w:sz w:val="21"/>
        </w:rPr>
        <w:t xml:space="preserve">Mél. : </w:t>
      </w:r>
      <w:hyperlink r:id="rId5">
        <w:r>
          <w:rPr>
            <w:rFonts w:ascii="Arial" w:eastAsia="Arial" w:hAnsi="Arial" w:cs="Arial"/>
            <w:color w:val="0595D6"/>
            <w:sz w:val="21"/>
            <w:u w:val="single" w:color="0595D6"/>
          </w:rPr>
          <w:t>sec.presse.travail</w:t>
        </w:r>
      </w:hyperlink>
      <w:hyperlink r:id="rId6">
        <w:r>
          <w:rPr>
            <w:rFonts w:ascii="Arial" w:eastAsia="Arial" w:hAnsi="Arial" w:cs="Arial"/>
            <w:color w:val="0595D6"/>
            <w:sz w:val="21"/>
          </w:rPr>
          <w:t>@</w:t>
        </w:r>
      </w:hyperlink>
      <w:hyperlink r:id="rId7">
        <w:r>
          <w:rPr>
            <w:rFonts w:ascii="Arial" w:eastAsia="Arial" w:hAnsi="Arial" w:cs="Arial"/>
            <w:color w:val="0595D6"/>
            <w:sz w:val="21"/>
            <w:u w:val="single" w:color="0595D6"/>
          </w:rPr>
          <w:t>cab.travail.</w:t>
        </w:r>
      </w:hyperlink>
      <w:hyperlink r:id="rId8">
        <w:r>
          <w:rPr>
            <w:rFonts w:ascii="Arial" w:eastAsia="Arial" w:hAnsi="Arial" w:cs="Arial"/>
            <w:color w:val="0595D6"/>
            <w:sz w:val="21"/>
          </w:rPr>
          <w:t>g</w:t>
        </w:r>
      </w:hyperlink>
      <w:hyperlink r:id="rId9">
        <w:r>
          <w:rPr>
            <w:rFonts w:ascii="Arial" w:eastAsia="Arial" w:hAnsi="Arial" w:cs="Arial"/>
            <w:color w:val="0595D6"/>
            <w:sz w:val="21"/>
            <w:u w:val="single" w:color="0595D6"/>
          </w:rPr>
          <w:t xml:space="preserve">ouv.fr </w:t>
        </w:r>
      </w:hyperlink>
      <w:r>
        <w:rPr>
          <w:rFonts w:ascii="Arial" w:eastAsia="Arial" w:hAnsi="Arial" w:cs="Arial"/>
          <w:color w:val="393939"/>
          <w:sz w:val="21"/>
        </w:rPr>
        <w:t xml:space="preserve">Cabinet de Brigitte </w:t>
      </w:r>
      <w:proofErr w:type="spellStart"/>
      <w:r>
        <w:rPr>
          <w:rFonts w:ascii="Arial" w:eastAsia="Arial" w:hAnsi="Arial" w:cs="Arial"/>
          <w:color w:val="393939"/>
          <w:sz w:val="21"/>
        </w:rPr>
        <w:t>Klinkert</w:t>
      </w:r>
      <w:proofErr w:type="spellEnd"/>
    </w:p>
    <w:p w:rsidR="00341B71" w:rsidRDefault="005F782E">
      <w:pPr>
        <w:spacing w:after="124" w:line="265" w:lineRule="auto"/>
        <w:ind w:left="849" w:right="5201" w:hanging="10"/>
      </w:pPr>
      <w:r>
        <w:rPr>
          <w:rFonts w:ascii="Arial" w:eastAsia="Arial" w:hAnsi="Arial" w:cs="Arial"/>
          <w:color w:val="393939"/>
          <w:sz w:val="21"/>
        </w:rPr>
        <w:t>Mél.</w:t>
      </w:r>
      <w:r>
        <w:rPr>
          <w:rFonts w:ascii="Arial" w:eastAsia="Arial" w:hAnsi="Arial" w:cs="Arial"/>
          <w:color w:val="393939"/>
          <w:sz w:val="21"/>
        </w:rPr>
        <w:t xml:space="preserve"> : </w:t>
      </w:r>
      <w:hyperlink r:id="rId10">
        <w:r>
          <w:rPr>
            <w:rFonts w:ascii="Arial" w:eastAsia="Arial" w:hAnsi="Arial" w:cs="Arial"/>
            <w:color w:val="0595D6"/>
            <w:sz w:val="21"/>
            <w:u w:val="single" w:color="0595D6"/>
          </w:rPr>
          <w:t>sec.presse.insertion</w:t>
        </w:r>
      </w:hyperlink>
      <w:hyperlink r:id="rId11">
        <w:r>
          <w:rPr>
            <w:rFonts w:ascii="Arial" w:eastAsia="Arial" w:hAnsi="Arial" w:cs="Arial"/>
            <w:color w:val="0595D6"/>
            <w:sz w:val="21"/>
          </w:rPr>
          <w:t>@</w:t>
        </w:r>
      </w:hyperlink>
      <w:hyperlink r:id="rId12">
        <w:r>
          <w:rPr>
            <w:rFonts w:ascii="Arial" w:eastAsia="Arial" w:hAnsi="Arial" w:cs="Arial"/>
            <w:color w:val="0595D6"/>
            <w:sz w:val="21"/>
            <w:u w:val="single" w:color="0595D6"/>
          </w:rPr>
          <w:t>cab.travail.</w:t>
        </w:r>
      </w:hyperlink>
      <w:hyperlink r:id="rId13">
        <w:r>
          <w:rPr>
            <w:rFonts w:ascii="Arial" w:eastAsia="Arial" w:hAnsi="Arial" w:cs="Arial"/>
            <w:color w:val="0595D6"/>
            <w:sz w:val="21"/>
          </w:rPr>
          <w:t>g</w:t>
        </w:r>
      </w:hyperlink>
      <w:hyperlink r:id="rId14">
        <w:r>
          <w:rPr>
            <w:rFonts w:ascii="Arial" w:eastAsia="Arial" w:hAnsi="Arial" w:cs="Arial"/>
            <w:color w:val="0595D6"/>
            <w:sz w:val="21"/>
            <w:u w:val="single" w:color="0595D6"/>
          </w:rPr>
          <w:t>ouv.fr</w:t>
        </w:r>
      </w:hyperlink>
    </w:p>
    <w:p w:rsidR="00341B71" w:rsidRDefault="005F782E">
      <w:pPr>
        <w:spacing w:after="73"/>
        <w:ind w:left="854"/>
      </w:pPr>
      <w:r>
        <w:rPr>
          <w:rFonts w:ascii="Arial" w:eastAsia="Arial" w:hAnsi="Arial" w:cs="Arial"/>
          <w:color w:val="393939"/>
          <w:sz w:val="26"/>
        </w:rPr>
        <w:t xml:space="preserve"> </w:t>
      </w:r>
    </w:p>
    <w:p w:rsidR="00341B71" w:rsidRDefault="005F782E">
      <w:pPr>
        <w:spacing w:after="0" w:line="388" w:lineRule="auto"/>
        <w:ind w:left="849" w:right="6762" w:hanging="10"/>
      </w:pPr>
      <w:r>
        <w:rPr>
          <w:rFonts w:ascii="Arial" w:eastAsia="Arial" w:hAnsi="Arial" w:cs="Arial"/>
          <w:color w:val="393939"/>
          <w:sz w:val="21"/>
        </w:rPr>
        <w:t xml:space="preserve">Cabinet de Thibaut </w:t>
      </w:r>
      <w:proofErr w:type="spellStart"/>
      <w:r>
        <w:rPr>
          <w:rFonts w:ascii="Arial" w:eastAsia="Arial" w:hAnsi="Arial" w:cs="Arial"/>
          <w:color w:val="393939"/>
          <w:sz w:val="21"/>
        </w:rPr>
        <w:t>Guilluy</w:t>
      </w:r>
      <w:proofErr w:type="spellEnd"/>
      <w:r>
        <w:rPr>
          <w:rFonts w:ascii="Arial" w:eastAsia="Arial" w:hAnsi="Arial" w:cs="Arial"/>
          <w:color w:val="393939"/>
          <w:sz w:val="21"/>
        </w:rPr>
        <w:t xml:space="preserve"> : Mél : </w:t>
      </w:r>
      <w:hyperlink r:id="rId15">
        <w:r>
          <w:rPr>
            <w:rFonts w:ascii="Arial" w:eastAsia="Arial" w:hAnsi="Arial" w:cs="Arial"/>
            <w:color w:val="0595D6"/>
            <w:sz w:val="21"/>
            <w:u w:val="single" w:color="0595D6"/>
          </w:rPr>
          <w:t>sec.hc3e</w:t>
        </w:r>
      </w:hyperlink>
      <w:hyperlink r:id="rId16">
        <w:r>
          <w:rPr>
            <w:rFonts w:ascii="Arial" w:eastAsia="Arial" w:hAnsi="Arial" w:cs="Arial"/>
            <w:color w:val="0595D6"/>
            <w:sz w:val="21"/>
          </w:rPr>
          <w:t>@</w:t>
        </w:r>
      </w:hyperlink>
      <w:hyperlink r:id="rId17">
        <w:r>
          <w:rPr>
            <w:rFonts w:ascii="Arial" w:eastAsia="Arial" w:hAnsi="Arial" w:cs="Arial"/>
            <w:color w:val="0595D6"/>
            <w:sz w:val="21"/>
            <w:u w:val="single" w:color="0595D6"/>
          </w:rPr>
          <w:t>cab.travail.</w:t>
        </w:r>
      </w:hyperlink>
      <w:hyperlink r:id="rId18">
        <w:r>
          <w:rPr>
            <w:rFonts w:ascii="Arial" w:eastAsia="Arial" w:hAnsi="Arial" w:cs="Arial"/>
            <w:color w:val="0595D6"/>
            <w:sz w:val="21"/>
          </w:rPr>
          <w:t>g</w:t>
        </w:r>
      </w:hyperlink>
      <w:hyperlink r:id="rId19">
        <w:r>
          <w:rPr>
            <w:rFonts w:ascii="Arial" w:eastAsia="Arial" w:hAnsi="Arial" w:cs="Arial"/>
            <w:color w:val="0595D6"/>
            <w:sz w:val="21"/>
            <w:u w:val="single" w:color="0595D6"/>
          </w:rPr>
          <w:t>ouv.fr</w:t>
        </w:r>
      </w:hyperlink>
      <w:r>
        <w:rPr>
          <w:rFonts w:ascii="Arial" w:eastAsia="Arial" w:hAnsi="Arial" w:cs="Arial"/>
          <w:color w:val="393939"/>
          <w:sz w:val="21"/>
        </w:rPr>
        <w:t xml:space="preserve"> Groupe </w:t>
      </w:r>
      <w:proofErr w:type="spellStart"/>
      <w:r>
        <w:rPr>
          <w:rFonts w:ascii="Arial" w:eastAsia="Arial" w:hAnsi="Arial" w:cs="Arial"/>
          <w:color w:val="393939"/>
          <w:sz w:val="21"/>
        </w:rPr>
        <w:t>Kering</w:t>
      </w:r>
      <w:proofErr w:type="spellEnd"/>
      <w:r>
        <w:rPr>
          <w:rFonts w:ascii="Arial" w:eastAsia="Arial" w:hAnsi="Arial" w:cs="Arial"/>
          <w:color w:val="393939"/>
          <w:sz w:val="21"/>
        </w:rPr>
        <w:t xml:space="preserve"> :</w:t>
      </w:r>
    </w:p>
    <w:p w:rsidR="00341B71" w:rsidRDefault="005F782E">
      <w:pPr>
        <w:spacing w:after="124" w:line="265" w:lineRule="auto"/>
        <w:ind w:left="849" w:right="5201" w:hanging="10"/>
      </w:pPr>
      <w:r>
        <w:rPr>
          <w:rFonts w:ascii="Arial" w:eastAsia="Arial" w:hAnsi="Arial" w:cs="Arial"/>
          <w:color w:val="393939"/>
          <w:sz w:val="21"/>
        </w:rPr>
        <w:t xml:space="preserve">Mél : </w:t>
      </w:r>
      <w:hyperlink r:id="rId20">
        <w:r>
          <w:rPr>
            <w:rFonts w:ascii="Arial" w:eastAsia="Arial" w:hAnsi="Arial" w:cs="Arial"/>
            <w:color w:val="0595D6"/>
            <w:sz w:val="21"/>
            <w:u w:val="single" w:color="0595D6"/>
          </w:rPr>
          <w:t>emilie.</w:t>
        </w:r>
      </w:hyperlink>
      <w:hyperlink r:id="rId21">
        <w:r>
          <w:rPr>
            <w:rFonts w:ascii="Arial" w:eastAsia="Arial" w:hAnsi="Arial" w:cs="Arial"/>
            <w:color w:val="0595D6"/>
            <w:sz w:val="21"/>
          </w:rPr>
          <w:t>g</w:t>
        </w:r>
      </w:hyperlink>
      <w:hyperlink r:id="rId22">
        <w:r>
          <w:rPr>
            <w:rFonts w:ascii="Arial" w:eastAsia="Arial" w:hAnsi="Arial" w:cs="Arial"/>
            <w:color w:val="0595D6"/>
            <w:sz w:val="21"/>
            <w:u w:val="single" w:color="0595D6"/>
          </w:rPr>
          <w:t>ar</w:t>
        </w:r>
      </w:hyperlink>
      <w:hyperlink r:id="rId23">
        <w:r>
          <w:rPr>
            <w:rFonts w:ascii="Arial" w:eastAsia="Arial" w:hAnsi="Arial" w:cs="Arial"/>
            <w:color w:val="0595D6"/>
            <w:sz w:val="21"/>
          </w:rPr>
          <w:t>g</w:t>
        </w:r>
      </w:hyperlink>
      <w:hyperlink r:id="rId24">
        <w:r>
          <w:rPr>
            <w:rFonts w:ascii="Arial" w:eastAsia="Arial" w:hAnsi="Arial" w:cs="Arial"/>
            <w:color w:val="0595D6"/>
            <w:sz w:val="21"/>
            <w:u w:val="single" w:color="0595D6"/>
          </w:rPr>
          <w:t>atte</w:t>
        </w:r>
      </w:hyperlink>
      <w:hyperlink r:id="rId25">
        <w:r>
          <w:rPr>
            <w:rFonts w:ascii="Arial" w:eastAsia="Arial" w:hAnsi="Arial" w:cs="Arial"/>
            <w:color w:val="0595D6"/>
            <w:sz w:val="21"/>
          </w:rPr>
          <w:t>@</w:t>
        </w:r>
      </w:hyperlink>
      <w:hyperlink r:id="rId26">
        <w:r>
          <w:rPr>
            <w:rFonts w:ascii="Arial" w:eastAsia="Arial" w:hAnsi="Arial" w:cs="Arial"/>
            <w:color w:val="0595D6"/>
            <w:sz w:val="21"/>
            <w:u w:val="single" w:color="0595D6"/>
          </w:rPr>
          <w:t>kerin</w:t>
        </w:r>
      </w:hyperlink>
      <w:hyperlink r:id="rId27">
        <w:r>
          <w:rPr>
            <w:rFonts w:ascii="Arial" w:eastAsia="Arial" w:hAnsi="Arial" w:cs="Arial"/>
            <w:color w:val="0595D6"/>
            <w:sz w:val="21"/>
          </w:rPr>
          <w:t>g</w:t>
        </w:r>
      </w:hyperlink>
      <w:hyperlink r:id="rId28">
        <w:r>
          <w:rPr>
            <w:rFonts w:ascii="Arial" w:eastAsia="Arial" w:hAnsi="Arial" w:cs="Arial"/>
            <w:color w:val="0595D6"/>
            <w:sz w:val="21"/>
            <w:u w:val="single" w:color="0595D6"/>
          </w:rPr>
          <w:t>.com</w:t>
        </w:r>
      </w:hyperlink>
    </w:p>
    <w:p w:rsidR="00341B71" w:rsidRDefault="005F782E">
      <w:pPr>
        <w:spacing w:after="619" w:line="265" w:lineRule="auto"/>
        <w:ind w:left="849" w:right="5201" w:hanging="10"/>
      </w:pPr>
      <w:hyperlink r:id="rId29">
        <w:r>
          <w:rPr>
            <w:rFonts w:ascii="Arial" w:eastAsia="Arial" w:hAnsi="Arial" w:cs="Arial"/>
            <w:color w:val="0595D6"/>
            <w:sz w:val="21"/>
            <w:u w:val="single" w:color="0595D6"/>
          </w:rPr>
          <w:t>marie.demontre</w:t>
        </w:r>
      </w:hyperlink>
      <w:hyperlink r:id="rId30">
        <w:r>
          <w:rPr>
            <w:rFonts w:ascii="Arial" w:eastAsia="Arial" w:hAnsi="Arial" w:cs="Arial"/>
            <w:color w:val="0595D6"/>
            <w:sz w:val="21"/>
          </w:rPr>
          <w:t>y</w:t>
        </w:r>
      </w:hyperlink>
      <w:hyperlink r:id="rId31">
        <w:r>
          <w:rPr>
            <w:rFonts w:ascii="Arial" w:eastAsia="Arial" w:hAnsi="Arial" w:cs="Arial"/>
            <w:color w:val="0595D6"/>
            <w:sz w:val="21"/>
            <w:u w:val="single" w:color="0595D6"/>
          </w:rPr>
          <w:t>naud</w:t>
        </w:r>
      </w:hyperlink>
      <w:hyperlink r:id="rId32">
        <w:r>
          <w:rPr>
            <w:rFonts w:ascii="Arial" w:eastAsia="Arial" w:hAnsi="Arial" w:cs="Arial"/>
            <w:color w:val="0595D6"/>
            <w:sz w:val="21"/>
          </w:rPr>
          <w:t>@</w:t>
        </w:r>
      </w:hyperlink>
      <w:hyperlink r:id="rId33">
        <w:r>
          <w:rPr>
            <w:rFonts w:ascii="Arial" w:eastAsia="Arial" w:hAnsi="Arial" w:cs="Arial"/>
            <w:color w:val="0595D6"/>
            <w:sz w:val="21"/>
            <w:u w:val="single" w:color="0595D6"/>
          </w:rPr>
          <w:t>kerin</w:t>
        </w:r>
      </w:hyperlink>
      <w:hyperlink r:id="rId34">
        <w:r>
          <w:rPr>
            <w:rFonts w:ascii="Arial" w:eastAsia="Arial" w:hAnsi="Arial" w:cs="Arial"/>
            <w:color w:val="0595D6"/>
            <w:sz w:val="21"/>
          </w:rPr>
          <w:t>g</w:t>
        </w:r>
      </w:hyperlink>
      <w:hyperlink r:id="rId35">
        <w:r>
          <w:rPr>
            <w:rFonts w:ascii="Arial" w:eastAsia="Arial" w:hAnsi="Arial" w:cs="Arial"/>
            <w:color w:val="0595D6"/>
            <w:sz w:val="21"/>
            <w:u w:val="single" w:color="0595D6"/>
          </w:rPr>
          <w:t>.com</w:t>
        </w:r>
      </w:hyperlink>
    </w:p>
    <w:p w:rsidR="00341B71" w:rsidRDefault="005F782E">
      <w:pPr>
        <w:spacing w:after="20"/>
        <w:ind w:left="615" w:right="584" w:hanging="10"/>
        <w:jc w:val="center"/>
      </w:pPr>
      <w:r>
        <w:rPr>
          <w:rFonts w:ascii="Arial" w:eastAsia="Arial" w:hAnsi="Arial" w:cs="Arial"/>
          <w:sz w:val="17"/>
        </w:rPr>
        <w:t>Conformément à la loi informatique et libertés du 06/01/1978 (art.27) et au Règlement Géné</w:t>
      </w:r>
      <w:r>
        <w:rPr>
          <w:rFonts w:ascii="Arial" w:eastAsia="Arial" w:hAnsi="Arial" w:cs="Arial"/>
          <w:sz w:val="17"/>
        </w:rPr>
        <w:t>ral sur la Protection des</w:t>
      </w:r>
    </w:p>
    <w:p w:rsidR="00341B71" w:rsidRDefault="005F782E">
      <w:pPr>
        <w:spacing w:after="273"/>
        <w:ind w:left="615" w:right="584" w:hanging="10"/>
        <w:jc w:val="center"/>
      </w:pPr>
      <w:r>
        <w:rPr>
          <w:rFonts w:ascii="Arial" w:eastAsia="Arial" w:hAnsi="Arial" w:cs="Arial"/>
          <w:sz w:val="17"/>
        </w:rPr>
        <w:t>Données (Règlement UE 2016/679) ou « RGPD », vous disposez d'un droit d'accès et de rectification des données vou</w:t>
      </w:r>
      <w:r>
        <w:rPr>
          <w:rFonts w:ascii="Arial" w:eastAsia="Arial" w:hAnsi="Arial" w:cs="Arial"/>
          <w:color w:val="393939"/>
          <w:sz w:val="17"/>
        </w:rPr>
        <w:t xml:space="preserve">s </w:t>
      </w:r>
      <w:r>
        <w:rPr>
          <w:rFonts w:ascii="Arial" w:eastAsia="Arial" w:hAnsi="Arial" w:cs="Arial"/>
          <w:sz w:val="17"/>
        </w:rPr>
        <w:t>concernant. Vous pouvez exercer vos droits en adressant un e-mail à l’adresse</w:t>
      </w:r>
      <w:r>
        <w:rPr>
          <w:rFonts w:ascii="Arial" w:eastAsia="Arial" w:hAnsi="Arial" w:cs="Arial"/>
          <w:color w:val="393939"/>
          <w:sz w:val="17"/>
        </w:rPr>
        <w:t xml:space="preserve"> </w:t>
      </w:r>
      <w:r>
        <w:rPr>
          <w:rFonts w:ascii="Arial" w:eastAsia="Arial" w:hAnsi="Arial" w:cs="Arial"/>
          <w:color w:val="0595D6"/>
          <w:sz w:val="17"/>
          <w:u w:val="single" w:color="0595D6"/>
        </w:rPr>
        <w:t>DDC-RGPD-CAB</w:t>
      </w:r>
      <w:r>
        <w:rPr>
          <w:rFonts w:ascii="Arial" w:eastAsia="Arial" w:hAnsi="Arial" w:cs="Arial"/>
          <w:color w:val="0595D6"/>
          <w:sz w:val="17"/>
        </w:rPr>
        <w:t>@</w:t>
      </w:r>
      <w:r>
        <w:rPr>
          <w:rFonts w:ascii="Arial" w:eastAsia="Arial" w:hAnsi="Arial" w:cs="Arial"/>
          <w:color w:val="0595D6"/>
          <w:sz w:val="17"/>
          <w:u w:val="single" w:color="0595D6"/>
        </w:rPr>
        <w:t>ddc.social.</w:t>
      </w:r>
      <w:r>
        <w:rPr>
          <w:rFonts w:ascii="Arial" w:eastAsia="Arial" w:hAnsi="Arial" w:cs="Arial"/>
          <w:color w:val="0595D6"/>
          <w:sz w:val="17"/>
        </w:rPr>
        <w:t>g</w:t>
      </w:r>
      <w:r>
        <w:rPr>
          <w:rFonts w:ascii="Arial" w:eastAsia="Arial" w:hAnsi="Arial" w:cs="Arial"/>
          <w:color w:val="0595D6"/>
          <w:sz w:val="17"/>
          <w:u w:val="single" w:color="0595D6"/>
        </w:rPr>
        <w:t>ouv.fr</w:t>
      </w:r>
      <w:r>
        <w:rPr>
          <w:rFonts w:ascii="Arial" w:eastAsia="Arial" w:hAnsi="Arial" w:cs="Arial"/>
          <w:color w:val="393939"/>
          <w:sz w:val="17"/>
        </w:rPr>
        <w:t>.</w:t>
      </w:r>
    </w:p>
    <w:p w:rsidR="00341B71" w:rsidRDefault="005F782E">
      <w:pPr>
        <w:spacing w:after="307"/>
        <w:ind w:left="554"/>
      </w:pPr>
      <w:r>
        <w:rPr>
          <w:rFonts w:ascii="Times New Roman" w:eastAsia="Times New Roman" w:hAnsi="Times New Roman" w:cs="Times New Roman"/>
          <w:sz w:val="15"/>
        </w:rPr>
        <w:t xml:space="preserve"> </w:t>
      </w:r>
    </w:p>
    <w:p w:rsidR="00341B71" w:rsidRDefault="005F782E" w:rsidP="005F782E">
      <w:pPr>
        <w:spacing w:after="786" w:line="265" w:lineRule="auto"/>
        <w:ind w:left="31" w:hanging="10"/>
        <w:jc w:val="center"/>
      </w:pPr>
      <w:r>
        <w:rPr>
          <w:rFonts w:ascii="Arial" w:eastAsia="Arial" w:hAnsi="Arial" w:cs="Arial"/>
          <w:color w:val="156BA5"/>
          <w:sz w:val="20"/>
        </w:rPr>
        <w:t xml:space="preserve">Si vous ne souhaitez plus recevoir nos communications, </w:t>
      </w:r>
      <w:r>
        <w:rPr>
          <w:rFonts w:ascii="Arial" w:eastAsia="Arial" w:hAnsi="Arial" w:cs="Arial"/>
          <w:color w:val="156BA5"/>
          <w:sz w:val="20"/>
          <w:u w:val="single" w:color="156BA5"/>
        </w:rPr>
        <w:t>suivez ce lien</w:t>
      </w:r>
    </w:p>
    <w:sectPr w:rsidR="00341B71">
      <w:pgSz w:w="11899" w:h="16838"/>
      <w:pgMar w:top="324" w:right="529" w:bottom="304" w:left="5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71"/>
    <w:rsid w:val="00341B71"/>
    <w:rsid w:val="005F7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EE2B"/>
  <w15:docId w15:val="{2DBA4AAC-7EF2-4D76-8760-3FF4AA52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c.presse.insertion@cab.travail.gouv.fr/" TargetMode="External"/><Relationship Id="rId13" Type="http://schemas.openxmlformats.org/officeDocument/2006/relationships/hyperlink" Target="http://sec.presse.insertion@cab.travail.gouv.fr/" TargetMode="External"/><Relationship Id="rId18" Type="http://schemas.openxmlformats.org/officeDocument/2006/relationships/hyperlink" Target="http://sec.presse.insertion@cab.travail.gouv.fr/" TargetMode="External"/><Relationship Id="rId26" Type="http://schemas.openxmlformats.org/officeDocument/2006/relationships/hyperlink" Target="http://sec.presse.insertion@cab.travail.gouv.fr/" TargetMode="External"/><Relationship Id="rId3" Type="http://schemas.openxmlformats.org/officeDocument/2006/relationships/webSettings" Target="webSettings.xml"/><Relationship Id="rId21" Type="http://schemas.openxmlformats.org/officeDocument/2006/relationships/hyperlink" Target="http://sec.presse.insertion@cab.travail.gouv.fr/" TargetMode="External"/><Relationship Id="rId34" Type="http://schemas.openxmlformats.org/officeDocument/2006/relationships/hyperlink" Target="http://sec.presse.insertion@cab.travail.gouv.fr/" TargetMode="External"/><Relationship Id="rId7" Type="http://schemas.openxmlformats.org/officeDocument/2006/relationships/hyperlink" Target="http://sec.presse.insertion@cab.travail.gouv.fr/" TargetMode="External"/><Relationship Id="rId12" Type="http://schemas.openxmlformats.org/officeDocument/2006/relationships/hyperlink" Target="http://sec.presse.insertion@cab.travail.gouv.fr/" TargetMode="External"/><Relationship Id="rId17" Type="http://schemas.openxmlformats.org/officeDocument/2006/relationships/hyperlink" Target="http://sec.presse.insertion@cab.travail.gouv.fr/" TargetMode="External"/><Relationship Id="rId25" Type="http://schemas.openxmlformats.org/officeDocument/2006/relationships/hyperlink" Target="http://sec.presse.insertion@cab.travail.gouv.fr/" TargetMode="External"/><Relationship Id="rId33" Type="http://schemas.openxmlformats.org/officeDocument/2006/relationships/hyperlink" Target="http://sec.presse.insertion@cab.travail.gouv.fr/" TargetMode="External"/><Relationship Id="rId2" Type="http://schemas.openxmlformats.org/officeDocument/2006/relationships/settings" Target="settings.xml"/><Relationship Id="rId16" Type="http://schemas.openxmlformats.org/officeDocument/2006/relationships/hyperlink" Target="http://sec.presse.insertion@cab.travail.gouv.fr/" TargetMode="External"/><Relationship Id="rId20" Type="http://schemas.openxmlformats.org/officeDocument/2006/relationships/hyperlink" Target="http://sec.presse.insertion@cab.travail.gouv.fr/" TargetMode="External"/><Relationship Id="rId29" Type="http://schemas.openxmlformats.org/officeDocument/2006/relationships/hyperlink" Target="http://sec.presse.insertion@cab.travail.gouv.fr/" TargetMode="External"/><Relationship Id="rId1" Type="http://schemas.openxmlformats.org/officeDocument/2006/relationships/styles" Target="styles.xml"/><Relationship Id="rId6" Type="http://schemas.openxmlformats.org/officeDocument/2006/relationships/hyperlink" Target="http://sec.presse.insertion@cab.travail.gouv.fr/" TargetMode="External"/><Relationship Id="rId11" Type="http://schemas.openxmlformats.org/officeDocument/2006/relationships/hyperlink" Target="http://sec.presse.insertion@cab.travail.gouv.fr/" TargetMode="External"/><Relationship Id="rId24" Type="http://schemas.openxmlformats.org/officeDocument/2006/relationships/hyperlink" Target="http://sec.presse.insertion@cab.travail.gouv.fr/" TargetMode="External"/><Relationship Id="rId32" Type="http://schemas.openxmlformats.org/officeDocument/2006/relationships/hyperlink" Target="http://sec.presse.insertion@cab.travail.gouv.fr/" TargetMode="External"/><Relationship Id="rId37" Type="http://schemas.openxmlformats.org/officeDocument/2006/relationships/theme" Target="theme/theme1.xml"/><Relationship Id="rId5" Type="http://schemas.openxmlformats.org/officeDocument/2006/relationships/hyperlink" Target="http://sec.presse.insertion@cab.travail.gouv.fr/" TargetMode="External"/><Relationship Id="rId15" Type="http://schemas.openxmlformats.org/officeDocument/2006/relationships/hyperlink" Target="http://sec.presse.insertion@cab.travail.gouv.fr/" TargetMode="External"/><Relationship Id="rId23" Type="http://schemas.openxmlformats.org/officeDocument/2006/relationships/hyperlink" Target="http://sec.presse.insertion@cab.travail.gouv.fr/" TargetMode="External"/><Relationship Id="rId28" Type="http://schemas.openxmlformats.org/officeDocument/2006/relationships/hyperlink" Target="http://sec.presse.insertion@cab.travail.gouv.fr/" TargetMode="External"/><Relationship Id="rId36" Type="http://schemas.openxmlformats.org/officeDocument/2006/relationships/fontTable" Target="fontTable.xml"/><Relationship Id="rId10" Type="http://schemas.openxmlformats.org/officeDocument/2006/relationships/hyperlink" Target="http://sec.presse.insertion@cab.travail.gouv.fr/" TargetMode="External"/><Relationship Id="rId19" Type="http://schemas.openxmlformats.org/officeDocument/2006/relationships/hyperlink" Target="http://sec.presse.insertion@cab.travail.gouv.fr/" TargetMode="External"/><Relationship Id="rId31" Type="http://schemas.openxmlformats.org/officeDocument/2006/relationships/hyperlink" Target="http://sec.presse.insertion@cab.travail.gouv.fr/" TargetMode="External"/><Relationship Id="rId4" Type="http://schemas.openxmlformats.org/officeDocument/2006/relationships/image" Target="media/image1.jpg"/><Relationship Id="rId9" Type="http://schemas.openxmlformats.org/officeDocument/2006/relationships/hyperlink" Target="http://sec.presse.insertion@cab.travail.gouv.fr/" TargetMode="External"/><Relationship Id="rId14" Type="http://schemas.openxmlformats.org/officeDocument/2006/relationships/hyperlink" Target="http://sec.presse.insertion@cab.travail.gouv.fr/" TargetMode="External"/><Relationship Id="rId22" Type="http://schemas.openxmlformats.org/officeDocument/2006/relationships/hyperlink" Target="http://sec.presse.insertion@cab.travail.gouv.fr/" TargetMode="External"/><Relationship Id="rId27" Type="http://schemas.openxmlformats.org/officeDocument/2006/relationships/hyperlink" Target="http://sec.presse.insertion@cab.travail.gouv.fr/" TargetMode="External"/><Relationship Id="rId30" Type="http://schemas.openxmlformats.org/officeDocument/2006/relationships/hyperlink" Target="http://sec.presse.insertion@cab.travail.gouv.fr/" TargetMode="External"/><Relationship Id="rId35" Type="http://schemas.openxmlformats.org/officeDocument/2006/relationships/hyperlink" Target="http://sec.presse.insertion@cab.travail.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4772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REMORY, Alice (CAB/INSERTION)</dc:creator>
  <cp:keywords/>
  <cp:lastModifiedBy>REMORY, Alice (CAB/INSERTION)</cp:lastModifiedBy>
  <cp:revision>2</cp:revision>
  <dcterms:created xsi:type="dcterms:W3CDTF">2022-03-17T12:48:00Z</dcterms:created>
  <dcterms:modified xsi:type="dcterms:W3CDTF">2022-03-17T12:48:00Z</dcterms:modified>
</cp:coreProperties>
</file>