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9EE18" w14:textId="35883C20" w:rsidR="007958BD" w:rsidRPr="0018347F" w:rsidRDefault="007958BD" w:rsidP="007067BC">
      <w:pPr>
        <w:spacing w:line="360" w:lineRule="auto"/>
      </w:pPr>
      <w:bookmarkStart w:id="0" w:name="_GoBack"/>
      <w:bookmarkEnd w:id="0"/>
    </w:p>
    <w:p w14:paraId="2B601105" w14:textId="7F0550AD" w:rsidR="007958BD" w:rsidRPr="0018347F" w:rsidRDefault="007958BD" w:rsidP="007067BC">
      <w:pPr>
        <w:spacing w:line="360" w:lineRule="auto"/>
      </w:pPr>
    </w:p>
    <w:p w14:paraId="152F9DD2" w14:textId="26A5AA86" w:rsidR="00E03EA9" w:rsidRPr="0018347F" w:rsidRDefault="00F3112B" w:rsidP="00BD6471">
      <w:pPr>
        <w:tabs>
          <w:tab w:val="center" w:pos="4514"/>
          <w:tab w:val="left" w:pos="6614"/>
        </w:tabs>
        <w:spacing w:line="360" w:lineRule="auto"/>
        <w:rPr>
          <w:b/>
          <w:sz w:val="24"/>
        </w:rPr>
      </w:pPr>
      <w:r>
        <w:rPr>
          <w:b/>
          <w:sz w:val="24"/>
        </w:rPr>
        <w:tab/>
      </w:r>
      <w:r w:rsidR="00E03EA9" w:rsidRPr="0018347F">
        <w:rPr>
          <w:b/>
          <w:sz w:val="24"/>
        </w:rPr>
        <w:t>COMMUNIQUE DE PRESSE</w:t>
      </w:r>
    </w:p>
    <w:p w14:paraId="09F4F38A" w14:textId="77777777" w:rsidR="00E03EA9" w:rsidRPr="0018347F" w:rsidRDefault="00E03EA9" w:rsidP="007067BC">
      <w:pPr>
        <w:spacing w:line="360" w:lineRule="auto"/>
      </w:pPr>
    </w:p>
    <w:p w14:paraId="1F79C1DD" w14:textId="12DAE035" w:rsidR="007958BD" w:rsidRPr="0084661A" w:rsidRDefault="00F3112B" w:rsidP="007067BC">
      <w:pPr>
        <w:spacing w:line="360" w:lineRule="auto"/>
        <w:jc w:val="right"/>
        <w:rPr>
          <w:i/>
          <w:sz w:val="20"/>
          <w:szCs w:val="20"/>
        </w:rPr>
      </w:pPr>
      <w:r>
        <w:rPr>
          <w:i/>
          <w:sz w:val="20"/>
          <w:szCs w:val="20"/>
        </w:rPr>
        <w:t>Paris, le 17</w:t>
      </w:r>
      <w:r w:rsidR="00C52DF2" w:rsidRPr="0084661A">
        <w:rPr>
          <w:i/>
          <w:sz w:val="20"/>
          <w:szCs w:val="20"/>
        </w:rPr>
        <w:t xml:space="preserve"> mars 2022</w:t>
      </w:r>
    </w:p>
    <w:tbl>
      <w:tblPr>
        <w:tblW w:w="0" w:type="auto"/>
        <w:tblCellMar>
          <w:left w:w="0" w:type="dxa"/>
          <w:right w:w="0" w:type="dxa"/>
        </w:tblCellMar>
        <w:tblLook w:val="04A0" w:firstRow="1" w:lastRow="0" w:firstColumn="1" w:lastColumn="0" w:noHBand="0" w:noVBand="1"/>
      </w:tblPr>
      <w:tblGrid>
        <w:gridCol w:w="133"/>
        <w:gridCol w:w="8896"/>
      </w:tblGrid>
      <w:tr w:rsidR="00C52DF2" w14:paraId="7AAB9941" w14:textId="77777777" w:rsidTr="00C52DF2">
        <w:tc>
          <w:tcPr>
            <w:tcW w:w="150" w:type="dxa"/>
            <w:shd w:val="clear" w:color="auto" w:fill="FFFFFF"/>
            <w:vAlign w:val="center"/>
            <w:hideMark/>
          </w:tcPr>
          <w:p w14:paraId="40F4FBE8" w14:textId="77777777" w:rsidR="00C52DF2" w:rsidRPr="007067BC" w:rsidRDefault="00C52DF2" w:rsidP="007067BC">
            <w:pPr>
              <w:spacing w:line="360" w:lineRule="auto"/>
              <w:rPr>
                <w:sz w:val="21"/>
                <w:szCs w:val="21"/>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96"/>
            </w:tblGrid>
            <w:tr w:rsidR="00C52DF2" w:rsidRPr="007067BC" w14:paraId="1A2D6D37" w14:textId="77777777">
              <w:trPr>
                <w:jc w:val="center"/>
              </w:trPr>
              <w:tc>
                <w:tcPr>
                  <w:tcW w:w="0" w:type="auto"/>
                  <w:shd w:val="clear" w:color="auto" w:fill="FFFFFF"/>
                  <w:vAlign w:val="center"/>
                </w:tcPr>
                <w:p w14:paraId="1170BFC9" w14:textId="77777777" w:rsidR="00C52DF2" w:rsidRPr="007067BC" w:rsidRDefault="00C52DF2" w:rsidP="007067BC">
                  <w:pPr>
                    <w:spacing w:line="360" w:lineRule="auto"/>
                    <w:rPr>
                      <w:sz w:val="21"/>
                      <w:szCs w:val="21"/>
                    </w:rPr>
                  </w:pPr>
                </w:p>
                <w:tbl>
                  <w:tblPr>
                    <w:tblW w:w="5000" w:type="pct"/>
                    <w:jc w:val="center"/>
                    <w:tblCellMar>
                      <w:left w:w="0" w:type="dxa"/>
                      <w:right w:w="0" w:type="dxa"/>
                    </w:tblCellMar>
                    <w:tblLook w:val="04A0" w:firstRow="1" w:lastRow="0" w:firstColumn="1" w:lastColumn="0" w:noHBand="0" w:noVBand="1"/>
                  </w:tblPr>
                  <w:tblGrid>
                    <w:gridCol w:w="8896"/>
                  </w:tblGrid>
                  <w:tr w:rsidR="00C52DF2" w:rsidRPr="007067BC" w14:paraId="5CD329F0" w14:textId="77777777">
                    <w:trPr>
                      <w:jc w:val="center"/>
                    </w:trPr>
                    <w:tc>
                      <w:tcPr>
                        <w:tcW w:w="5000" w:type="pct"/>
                      </w:tcPr>
                      <w:p w14:paraId="6DD6193E" w14:textId="2CE91875" w:rsidR="00C52DF2" w:rsidRPr="007067BC" w:rsidRDefault="00F3112B" w:rsidP="007067BC">
                        <w:pPr>
                          <w:pStyle w:val="Corpsdetexte"/>
                          <w:spacing w:line="360" w:lineRule="auto"/>
                          <w:ind w:right="24"/>
                          <w:jc w:val="both"/>
                          <w:rPr>
                            <w:rFonts w:eastAsia="Arial"/>
                            <w:sz w:val="21"/>
                            <w:szCs w:val="21"/>
                            <w:lang w:val="fr" w:eastAsia="fr-FR"/>
                          </w:rPr>
                        </w:pPr>
                        <w:r w:rsidRPr="003D77E8">
                          <w:rPr>
                            <w:b/>
                            <w:bCs/>
                            <w:color w:val="3B3838"/>
                            <w:sz w:val="26"/>
                            <w:szCs w:val="26"/>
                          </w:rPr>
                          <w:t>« 1 jeune, 1 solution » et « Les entreprises s’engagent » : Airbus Atlantic signe une convention de partenariat avec le Haut-commissaire à l’emploi et à l’engagement des</w:t>
                        </w:r>
                        <w:r w:rsidRPr="007067BC">
                          <w:rPr>
                            <w:rFonts w:eastAsia="Arial"/>
                            <w:sz w:val="21"/>
                            <w:szCs w:val="21"/>
                            <w:lang w:val="fr" w:eastAsia="fr-FR"/>
                          </w:rPr>
                          <w:t xml:space="preserve"> </w:t>
                        </w:r>
                        <w:r w:rsidRPr="003D77E8">
                          <w:rPr>
                            <w:b/>
                            <w:bCs/>
                            <w:color w:val="3B3838"/>
                            <w:sz w:val="26"/>
                            <w:szCs w:val="26"/>
                          </w:rPr>
                          <w:t>entreprises</w:t>
                        </w:r>
                      </w:p>
                      <w:p w14:paraId="4E4319E1" w14:textId="61549AC8" w:rsidR="00C52DF2" w:rsidRDefault="00C52DF2" w:rsidP="007067BC">
                        <w:pPr>
                          <w:spacing w:line="360" w:lineRule="auto"/>
                          <w:jc w:val="both"/>
                          <w:rPr>
                            <w:sz w:val="21"/>
                            <w:szCs w:val="21"/>
                          </w:rPr>
                        </w:pPr>
                      </w:p>
                      <w:p w14:paraId="05C2DDD3" w14:textId="31147E18" w:rsidR="00F3112B" w:rsidRDefault="00F3112B" w:rsidP="007067BC">
                        <w:pPr>
                          <w:spacing w:line="360" w:lineRule="auto"/>
                          <w:jc w:val="both"/>
                          <w:rPr>
                            <w:sz w:val="21"/>
                            <w:szCs w:val="21"/>
                          </w:rPr>
                        </w:pPr>
                        <w:r>
                          <w:rPr>
                            <w:sz w:val="21"/>
                            <w:szCs w:val="21"/>
                          </w:rPr>
                          <w:t>Marc Jouenne</w:t>
                        </w:r>
                        <w:r w:rsidRPr="00F3112B">
                          <w:rPr>
                            <w:sz w:val="21"/>
                            <w:szCs w:val="21"/>
                          </w:rPr>
                          <w:t xml:space="preserve">, </w:t>
                        </w:r>
                        <w:r>
                          <w:rPr>
                            <w:sz w:val="21"/>
                            <w:szCs w:val="21"/>
                          </w:rPr>
                          <w:t>Directeur des Ressources Humaines</w:t>
                        </w:r>
                        <w:r w:rsidRPr="00F3112B">
                          <w:rPr>
                            <w:sz w:val="21"/>
                            <w:szCs w:val="21"/>
                          </w:rPr>
                          <w:t xml:space="preserve"> </w:t>
                        </w:r>
                        <w:r>
                          <w:rPr>
                            <w:sz w:val="21"/>
                            <w:szCs w:val="21"/>
                          </w:rPr>
                          <w:t xml:space="preserve">d’Airbus Atlantic </w:t>
                        </w:r>
                        <w:r w:rsidRPr="00F3112B">
                          <w:rPr>
                            <w:sz w:val="21"/>
                            <w:szCs w:val="21"/>
                          </w:rPr>
                          <w:t>et Thibaut Guilluy, Haut-commissaire à l’emploi et à l’engagement des entreprises ont signé une convention de partenariat pour s’engager dans le cadre du plan « 1 jeune, 1 solution »</w:t>
                        </w:r>
                        <w:r>
                          <w:rPr>
                            <w:sz w:val="21"/>
                            <w:szCs w:val="21"/>
                          </w:rPr>
                          <w:t xml:space="preserve"> et du dispositif « Les entreprises s’engagent ».</w:t>
                        </w:r>
                      </w:p>
                      <w:p w14:paraId="7A361EEE" w14:textId="094D83DB" w:rsidR="00F3112B" w:rsidRDefault="00F3112B" w:rsidP="007067BC">
                        <w:pPr>
                          <w:spacing w:line="360" w:lineRule="auto"/>
                          <w:jc w:val="both"/>
                          <w:rPr>
                            <w:sz w:val="21"/>
                            <w:szCs w:val="21"/>
                          </w:rPr>
                        </w:pPr>
                      </w:p>
                      <w:p w14:paraId="7DC8118A" w14:textId="3DC6B69B" w:rsidR="00F3112B" w:rsidRDefault="00F3112B" w:rsidP="007067BC">
                        <w:pPr>
                          <w:spacing w:line="360" w:lineRule="auto"/>
                          <w:jc w:val="both"/>
                          <w:rPr>
                            <w:sz w:val="21"/>
                            <w:szCs w:val="21"/>
                          </w:rPr>
                        </w:pPr>
                        <w:r w:rsidRPr="00F3112B">
                          <w:rPr>
                            <w:sz w:val="21"/>
                            <w:szCs w:val="21"/>
                          </w:rPr>
                          <w:t xml:space="preserve">Solidaires des efforts impulsés au niveau national et dans la continuité des actions menées de longue date par Airbus et </w:t>
                        </w:r>
                        <w:r w:rsidR="001A693D" w:rsidRPr="00465AEA">
                          <w:rPr>
                            <w:sz w:val="21"/>
                            <w:szCs w:val="21"/>
                          </w:rPr>
                          <w:t>STELIA</w:t>
                        </w:r>
                        <w:r w:rsidRPr="00F3112B">
                          <w:rPr>
                            <w:sz w:val="21"/>
                            <w:szCs w:val="21"/>
                          </w:rPr>
                          <w:t xml:space="preserve"> Aerospace en faveur de la formation des jeunes et de leur insertion en entreprise, la nouvelle société Airbus Atlantic</w:t>
                        </w:r>
                        <w:r w:rsidR="007A263E">
                          <w:rPr>
                            <w:sz w:val="21"/>
                            <w:szCs w:val="21"/>
                          </w:rPr>
                          <w:t>,</w:t>
                        </w:r>
                        <w:r w:rsidRPr="00F3112B">
                          <w:rPr>
                            <w:sz w:val="21"/>
                            <w:szCs w:val="21"/>
                          </w:rPr>
                          <w:t xml:space="preserve"> créée au 1er janvier 2022</w:t>
                        </w:r>
                        <w:r w:rsidR="007A263E">
                          <w:rPr>
                            <w:sz w:val="21"/>
                            <w:szCs w:val="21"/>
                          </w:rPr>
                          <w:t>,</w:t>
                        </w:r>
                        <w:r w:rsidR="001A693D">
                          <w:rPr>
                            <w:sz w:val="21"/>
                            <w:szCs w:val="21"/>
                          </w:rPr>
                          <w:t xml:space="preserve"> </w:t>
                        </w:r>
                        <w:r w:rsidRPr="00F3112B">
                          <w:rPr>
                            <w:sz w:val="21"/>
                            <w:szCs w:val="21"/>
                          </w:rPr>
                          <w:t xml:space="preserve">s’engage en 2022 à recruter plus de 700 personnes dans le cadre de CDI, former plus de 220 jeunes en contrat en alternance, intégrer 500 jeunes dans le cadre de stages intégrées à leur scolarité, et favoriser l’intégration de près de 700 demandeurs d’emploi </w:t>
                        </w:r>
                        <w:r>
                          <w:rPr>
                            <w:sz w:val="21"/>
                            <w:szCs w:val="21"/>
                          </w:rPr>
                          <w:t xml:space="preserve">et </w:t>
                        </w:r>
                        <w:r w:rsidRPr="00F3112B">
                          <w:rPr>
                            <w:sz w:val="21"/>
                            <w:szCs w:val="21"/>
                          </w:rPr>
                          <w:t>au rayonnement des savoir-fa</w:t>
                        </w:r>
                        <w:r>
                          <w:rPr>
                            <w:sz w:val="21"/>
                            <w:szCs w:val="21"/>
                          </w:rPr>
                          <w:t>ire de l’aéronautique en France.</w:t>
                        </w:r>
                      </w:p>
                      <w:p w14:paraId="0F054A2C" w14:textId="58FB3374" w:rsidR="00F3112B" w:rsidRDefault="00F3112B" w:rsidP="007067BC">
                        <w:pPr>
                          <w:spacing w:line="360" w:lineRule="auto"/>
                          <w:jc w:val="both"/>
                          <w:rPr>
                            <w:sz w:val="21"/>
                            <w:szCs w:val="21"/>
                          </w:rPr>
                        </w:pPr>
                      </w:p>
                      <w:p w14:paraId="37F1CF32" w14:textId="17FA6D58" w:rsidR="00F3112B" w:rsidRDefault="00F3112B" w:rsidP="007067BC">
                        <w:pPr>
                          <w:spacing w:line="360" w:lineRule="auto"/>
                          <w:jc w:val="both"/>
                          <w:rPr>
                            <w:sz w:val="21"/>
                            <w:szCs w:val="21"/>
                          </w:rPr>
                        </w:pPr>
                        <w:r>
                          <w:rPr>
                            <w:sz w:val="21"/>
                            <w:szCs w:val="21"/>
                          </w:rPr>
                          <w:t xml:space="preserve">Par cette convention de partenariat Airbus Atlantic s’engage ainsi sur plusieurs segments que sont : </w:t>
                        </w:r>
                      </w:p>
                      <w:p w14:paraId="7D41964B" w14:textId="3E16C15C" w:rsidR="00F3112B" w:rsidRDefault="00F3112B" w:rsidP="007067BC">
                        <w:pPr>
                          <w:pStyle w:val="Paragraphedeliste"/>
                          <w:numPr>
                            <w:ilvl w:val="0"/>
                            <w:numId w:val="5"/>
                          </w:numPr>
                          <w:spacing w:line="360" w:lineRule="auto"/>
                          <w:jc w:val="both"/>
                          <w:rPr>
                            <w:rFonts w:ascii="Arial" w:eastAsia="Arial" w:hAnsi="Arial" w:cs="Arial"/>
                            <w:sz w:val="21"/>
                            <w:szCs w:val="21"/>
                            <w:lang w:val="fr" w:eastAsia="fr-FR"/>
                          </w:rPr>
                        </w:pPr>
                        <w:r w:rsidRPr="00F3112B">
                          <w:rPr>
                            <w:rFonts w:ascii="Arial" w:eastAsia="Arial" w:hAnsi="Arial" w:cs="Arial"/>
                            <w:sz w:val="21"/>
                            <w:szCs w:val="21"/>
                            <w:lang w:val="fr" w:eastAsia="fr-FR"/>
                          </w:rPr>
                          <w:t>Le recrutement et la formation de jeunes de moins de trente ans</w:t>
                        </w:r>
                        <w:r>
                          <w:rPr>
                            <w:rFonts w:ascii="Arial" w:eastAsia="Arial" w:hAnsi="Arial" w:cs="Arial"/>
                            <w:sz w:val="21"/>
                            <w:szCs w:val="21"/>
                            <w:lang w:val="fr" w:eastAsia="fr-FR"/>
                          </w:rPr>
                          <w:t xml:space="preserve"> et des demandeurs d’emploi dans les métiers de l’aéronautique en 2022</w:t>
                        </w:r>
                        <w:r w:rsidR="007A263E">
                          <w:rPr>
                            <w:rFonts w:ascii="Arial" w:eastAsia="Arial" w:hAnsi="Arial" w:cs="Arial"/>
                            <w:sz w:val="21"/>
                            <w:szCs w:val="21"/>
                            <w:lang w:val="fr" w:eastAsia="fr-FR"/>
                          </w:rPr>
                          <w:t> ;</w:t>
                        </w:r>
                      </w:p>
                      <w:p w14:paraId="0FD4379A" w14:textId="5EDF4CE9" w:rsidR="00F3112B" w:rsidRDefault="00F3112B" w:rsidP="007067BC">
                        <w:pPr>
                          <w:pStyle w:val="Paragraphedeliste"/>
                          <w:numPr>
                            <w:ilvl w:val="0"/>
                            <w:numId w:val="5"/>
                          </w:numPr>
                          <w:spacing w:line="360" w:lineRule="auto"/>
                          <w:jc w:val="both"/>
                          <w:rPr>
                            <w:rFonts w:ascii="Arial" w:eastAsia="Arial" w:hAnsi="Arial" w:cs="Arial"/>
                            <w:sz w:val="21"/>
                            <w:szCs w:val="21"/>
                            <w:lang w:val="fr" w:eastAsia="fr-FR"/>
                          </w:rPr>
                        </w:pPr>
                        <w:r>
                          <w:rPr>
                            <w:rFonts w:ascii="Arial" w:eastAsia="Arial" w:hAnsi="Arial" w:cs="Arial"/>
                            <w:sz w:val="21"/>
                            <w:szCs w:val="21"/>
                            <w:lang w:val="fr" w:eastAsia="fr-FR"/>
                          </w:rPr>
                          <w:t>Le mentorat, dans le cadre du plan « 1 jeune, 1 mentor »</w:t>
                        </w:r>
                        <w:r w:rsidR="007A263E">
                          <w:rPr>
                            <w:rFonts w:ascii="Arial" w:eastAsia="Arial" w:hAnsi="Arial" w:cs="Arial"/>
                            <w:sz w:val="21"/>
                            <w:szCs w:val="21"/>
                            <w:lang w:val="fr" w:eastAsia="fr-FR"/>
                          </w:rPr>
                          <w:t> ;</w:t>
                        </w:r>
                      </w:p>
                      <w:p w14:paraId="02551F84" w14:textId="37965FCF" w:rsidR="00F3112B" w:rsidRPr="00F3112B" w:rsidRDefault="00F3112B" w:rsidP="007067BC">
                        <w:pPr>
                          <w:pStyle w:val="Paragraphedeliste"/>
                          <w:numPr>
                            <w:ilvl w:val="0"/>
                            <w:numId w:val="5"/>
                          </w:numPr>
                          <w:spacing w:line="360" w:lineRule="auto"/>
                          <w:jc w:val="both"/>
                          <w:rPr>
                            <w:rFonts w:ascii="Arial" w:eastAsia="Arial" w:hAnsi="Arial" w:cs="Arial"/>
                            <w:sz w:val="21"/>
                            <w:szCs w:val="21"/>
                            <w:lang w:val="fr" w:eastAsia="fr-FR"/>
                          </w:rPr>
                        </w:pPr>
                        <w:r>
                          <w:rPr>
                            <w:rFonts w:ascii="Arial" w:eastAsia="Arial" w:hAnsi="Arial" w:cs="Arial"/>
                            <w:sz w:val="21"/>
                            <w:szCs w:val="21"/>
                            <w:lang w:val="fr" w:eastAsia="fr-FR"/>
                          </w:rPr>
                          <w:t>L’investissement dans le cadre du dispositif « Les entreprises s’engagent »</w:t>
                        </w:r>
                        <w:r w:rsidR="007067BC">
                          <w:rPr>
                            <w:rFonts w:ascii="Arial" w:eastAsia="Arial" w:hAnsi="Arial" w:cs="Arial"/>
                            <w:sz w:val="21"/>
                            <w:szCs w:val="21"/>
                            <w:lang w:val="fr" w:eastAsia="fr-FR"/>
                          </w:rPr>
                          <w:t xml:space="preserve"> et de son club de Loire-Atlantique</w:t>
                        </w:r>
                        <w:r w:rsidR="007A263E">
                          <w:rPr>
                            <w:rFonts w:ascii="Arial" w:eastAsia="Arial" w:hAnsi="Arial" w:cs="Arial"/>
                            <w:sz w:val="21"/>
                            <w:szCs w:val="21"/>
                            <w:lang w:val="fr" w:eastAsia="fr-FR"/>
                          </w:rPr>
                          <w:t>.</w:t>
                        </w:r>
                      </w:p>
                      <w:p w14:paraId="0CE6F262" w14:textId="4EC81ADD" w:rsidR="007067BC" w:rsidRDefault="007067BC" w:rsidP="007067BC">
                        <w:pPr>
                          <w:pStyle w:val="NormalWeb"/>
                          <w:spacing w:line="360" w:lineRule="auto"/>
                          <w:jc w:val="both"/>
                          <w:rPr>
                            <w:rFonts w:ascii="Arial" w:eastAsia="Arial" w:hAnsi="Arial" w:cs="Arial"/>
                            <w:sz w:val="21"/>
                            <w:szCs w:val="21"/>
                            <w:lang w:val="fr"/>
                          </w:rPr>
                        </w:pPr>
                        <w:r w:rsidRPr="007067BC">
                          <w:rPr>
                            <w:rFonts w:ascii="Arial" w:eastAsia="Arial" w:hAnsi="Arial" w:cs="Arial"/>
                            <w:sz w:val="21"/>
                            <w:szCs w:val="21"/>
                            <w:lang w:val="fr"/>
                          </w:rPr>
                          <w:t>Pour Marc Jouenne, Directeur des Ressources Humaines d’Airbus Atlantic</w:t>
                        </w:r>
                        <w:r>
                          <w:rPr>
                            <w:rFonts w:ascii="Arial" w:eastAsia="Arial" w:hAnsi="Arial" w:cs="Arial"/>
                            <w:sz w:val="21"/>
                            <w:szCs w:val="21"/>
                            <w:lang w:val="fr"/>
                          </w:rPr>
                          <w:t> :</w:t>
                        </w:r>
                        <w:r w:rsidRPr="007067BC">
                          <w:rPr>
                            <w:rFonts w:ascii="Arial" w:eastAsia="Arial" w:hAnsi="Arial" w:cs="Arial"/>
                            <w:sz w:val="21"/>
                            <w:szCs w:val="21"/>
                            <w:lang w:val="fr"/>
                          </w:rPr>
                          <w:t xml:space="preserve"> </w:t>
                        </w:r>
                        <w:r w:rsidR="008F2B16" w:rsidRPr="00465AEA">
                          <w:rPr>
                            <w:rFonts w:ascii="Arial" w:eastAsia="Arial" w:hAnsi="Arial" w:cs="Arial"/>
                            <w:sz w:val="21"/>
                            <w:szCs w:val="21"/>
                            <w:lang w:val="fr"/>
                          </w:rPr>
                          <w:t>«</w:t>
                        </w:r>
                        <w:r w:rsidR="00BD6471" w:rsidRPr="00465AEA">
                          <w:rPr>
                            <w:rFonts w:ascii="Arial" w:eastAsia="Arial" w:hAnsi="Arial" w:cs="Arial"/>
                            <w:sz w:val="21"/>
                            <w:szCs w:val="21"/>
                            <w:lang w:val="fr"/>
                          </w:rPr>
                          <w:t xml:space="preserve"> Au travers de cette convention avec le HCEEE, Airbus Atlantic souhaite formaliser ses engagements ambitieux en matière d’emploi, de formation et de diversité pour l’année 2022. Dans ce cadre, Airbus Atlantic s’engage également à soutenir et à s’impliquer</w:t>
                        </w:r>
                        <w:r w:rsidR="00465AEA">
                          <w:rPr>
                            <w:rFonts w:ascii="Arial" w:eastAsia="Arial" w:hAnsi="Arial" w:cs="Arial"/>
                            <w:sz w:val="21"/>
                            <w:szCs w:val="21"/>
                            <w:lang w:val="fr"/>
                          </w:rPr>
                          <w:t xml:space="preserve"> fortement dans les dispositifs</w:t>
                        </w:r>
                        <w:r w:rsidR="00BD6471" w:rsidRPr="00465AEA">
                          <w:rPr>
                            <w:rFonts w:ascii="Arial" w:eastAsia="Arial" w:hAnsi="Arial" w:cs="Arial"/>
                            <w:sz w:val="21"/>
                            <w:szCs w:val="21"/>
                            <w:lang w:val="fr"/>
                          </w:rPr>
                          <w:t> « 1 jeune, 1 solution »</w:t>
                        </w:r>
                        <w:r w:rsidR="00465AEA">
                          <w:rPr>
                            <w:rFonts w:ascii="Arial" w:eastAsia="Arial" w:hAnsi="Arial" w:cs="Arial"/>
                            <w:sz w:val="21"/>
                            <w:szCs w:val="21"/>
                            <w:lang w:val="fr"/>
                          </w:rPr>
                          <w:t xml:space="preserve"> et « L</w:t>
                        </w:r>
                        <w:r w:rsidR="00BD6471" w:rsidRPr="00465AEA">
                          <w:rPr>
                            <w:rFonts w:ascii="Arial" w:eastAsia="Arial" w:hAnsi="Arial" w:cs="Arial"/>
                            <w:sz w:val="21"/>
                            <w:szCs w:val="21"/>
                            <w:lang w:val="fr"/>
                          </w:rPr>
                          <w:t>es entreprises s’engagent</w:t>
                        </w:r>
                        <w:r w:rsidR="00465AEA">
                          <w:rPr>
                            <w:rFonts w:ascii="Arial" w:eastAsia="Arial" w:hAnsi="Arial" w:cs="Arial"/>
                            <w:sz w:val="21"/>
                            <w:szCs w:val="21"/>
                            <w:lang w:val="fr"/>
                          </w:rPr>
                          <w:t> »</w:t>
                        </w:r>
                        <w:r w:rsidR="00BD6471" w:rsidRPr="00465AEA">
                          <w:rPr>
                            <w:rFonts w:ascii="Arial" w:eastAsia="Arial" w:hAnsi="Arial" w:cs="Arial"/>
                            <w:sz w:val="21"/>
                            <w:szCs w:val="21"/>
                            <w:lang w:val="fr"/>
                          </w:rPr>
                          <w:t xml:space="preserve"> pour favoriser l’emploi des jeunes et l’égalité des chances.</w:t>
                        </w:r>
                        <w:r w:rsidRPr="00465AEA">
                          <w:rPr>
                            <w:rFonts w:ascii="Arial" w:eastAsia="Arial" w:hAnsi="Arial" w:cs="Arial"/>
                            <w:sz w:val="21"/>
                            <w:szCs w:val="21"/>
                            <w:lang w:val="fr"/>
                          </w:rPr>
                          <w:t xml:space="preserve"> </w:t>
                        </w:r>
                        <w:r w:rsidR="008F2B16" w:rsidRPr="00465AEA">
                          <w:rPr>
                            <w:rFonts w:ascii="Arial" w:eastAsia="Arial" w:hAnsi="Arial" w:cs="Arial"/>
                            <w:sz w:val="21"/>
                            <w:szCs w:val="21"/>
                            <w:lang w:val="fr"/>
                          </w:rPr>
                          <w:t>»</w:t>
                        </w:r>
                      </w:p>
                      <w:p w14:paraId="53424F8B" w14:textId="31F268FB" w:rsidR="00BD6471" w:rsidRDefault="00BD6471" w:rsidP="007067BC">
                        <w:pPr>
                          <w:pStyle w:val="NormalWeb"/>
                          <w:spacing w:line="360" w:lineRule="auto"/>
                          <w:jc w:val="both"/>
                          <w:rPr>
                            <w:rFonts w:ascii="Arial" w:eastAsia="Arial" w:hAnsi="Arial" w:cs="Arial"/>
                            <w:sz w:val="21"/>
                            <w:szCs w:val="21"/>
                            <w:lang w:val="fr"/>
                          </w:rPr>
                        </w:pPr>
                      </w:p>
                      <w:p w14:paraId="4BBDB844" w14:textId="5156449E" w:rsidR="00C52DF2" w:rsidRDefault="007067BC" w:rsidP="007067BC">
                        <w:pPr>
                          <w:pStyle w:val="NormalWeb"/>
                          <w:spacing w:line="360" w:lineRule="auto"/>
                          <w:jc w:val="both"/>
                          <w:rPr>
                            <w:rFonts w:ascii="Arial" w:eastAsia="Arial" w:hAnsi="Arial" w:cs="Arial"/>
                            <w:sz w:val="21"/>
                            <w:szCs w:val="21"/>
                            <w:lang w:val="fr"/>
                          </w:rPr>
                        </w:pPr>
                        <w:r>
                          <w:rPr>
                            <w:rFonts w:ascii="Arial" w:eastAsia="Arial" w:hAnsi="Arial" w:cs="Arial"/>
                            <w:sz w:val="21"/>
                            <w:szCs w:val="21"/>
                            <w:lang w:val="fr"/>
                          </w:rPr>
                          <w:lastRenderedPageBreak/>
                          <w:t xml:space="preserve">Pour </w:t>
                        </w:r>
                        <w:r w:rsidRPr="007067BC">
                          <w:rPr>
                            <w:rFonts w:ascii="Arial" w:eastAsia="Arial" w:hAnsi="Arial" w:cs="Arial"/>
                            <w:sz w:val="21"/>
                            <w:szCs w:val="21"/>
                            <w:lang w:val="fr"/>
                          </w:rPr>
                          <w:t>Thibaut Guilluy, Haut-commissaire à l’emploi et à l’engagement des entreprises</w:t>
                        </w:r>
                        <w:r>
                          <w:rPr>
                            <w:rFonts w:ascii="Arial" w:eastAsia="Arial" w:hAnsi="Arial" w:cs="Arial"/>
                            <w:sz w:val="21"/>
                            <w:szCs w:val="21"/>
                            <w:lang w:val="fr"/>
                          </w:rPr>
                          <w:t xml:space="preserve"> : </w:t>
                        </w:r>
                        <w:r w:rsidR="008F2B16" w:rsidRPr="007067BC">
                          <w:rPr>
                            <w:rFonts w:ascii="Arial" w:eastAsia="Arial" w:hAnsi="Arial" w:cs="Arial"/>
                            <w:sz w:val="21"/>
                            <w:szCs w:val="21"/>
                            <w:lang w:val="fr"/>
                          </w:rPr>
                          <w:t>«</w:t>
                        </w:r>
                        <w:r w:rsidR="0084661A" w:rsidRPr="007067BC">
                          <w:rPr>
                            <w:rFonts w:ascii="Arial" w:eastAsia="Arial" w:hAnsi="Arial" w:cs="Arial"/>
                            <w:sz w:val="21"/>
                            <w:szCs w:val="21"/>
                            <w:lang w:val="fr"/>
                          </w:rPr>
                          <w:t xml:space="preserve"> </w:t>
                        </w:r>
                        <w:r>
                          <w:rPr>
                            <w:rFonts w:ascii="Arial" w:eastAsia="Arial" w:hAnsi="Arial" w:cs="Arial"/>
                            <w:sz w:val="21"/>
                            <w:szCs w:val="21"/>
                            <w:lang w:val="fr"/>
                          </w:rPr>
                          <w:t xml:space="preserve">Cette convention de partenariat prolonge les actions conjointes et ambitieuses d’ores et déjà menées par le groupe Airbus : tant pour favoriser l’emploi des jeunes que celui de tous les publics éloignés du marché du travail. La mobilisation des équipes en charge de l’animation du club « Les entreprises s’engagent » en Loire-Atlantique mérite également d’être saluée. Cette année encore nous continuerons à œuvrer pour que </w:t>
                        </w:r>
                        <w:r w:rsidRPr="007067BC">
                          <w:rPr>
                            <w:rFonts w:ascii="Arial" w:eastAsia="Arial" w:hAnsi="Arial" w:cs="Arial"/>
                            <w:sz w:val="21"/>
                            <w:szCs w:val="21"/>
                            <w:lang w:val="fr"/>
                          </w:rPr>
                          <w:t>l’accès à l’emploi d</w:t>
                        </w:r>
                        <w:r>
                          <w:rPr>
                            <w:rFonts w:ascii="Arial" w:eastAsia="Arial" w:hAnsi="Arial" w:cs="Arial"/>
                            <w:sz w:val="21"/>
                            <w:szCs w:val="21"/>
                            <w:lang w:val="fr"/>
                          </w:rPr>
                          <w:t xml:space="preserve">evienne une réalité pour chacun avec des acteurs, à l’image d’Airbus Atlantic, </w:t>
                        </w:r>
                        <w:r w:rsidRPr="007067BC">
                          <w:rPr>
                            <w:rFonts w:ascii="Arial" w:eastAsia="Arial" w:hAnsi="Arial" w:cs="Arial"/>
                            <w:sz w:val="21"/>
                            <w:szCs w:val="21"/>
                            <w:lang w:val="fr"/>
                          </w:rPr>
                          <w:t>qui sont convaincus que la France est une chance et que cette chance devrait être la même pour tous !</w:t>
                        </w:r>
                        <w:r>
                          <w:rPr>
                            <w:rFonts w:ascii="Arial" w:eastAsia="Arial" w:hAnsi="Arial" w:cs="Arial"/>
                            <w:sz w:val="21"/>
                            <w:szCs w:val="21"/>
                            <w:lang w:val="fr"/>
                          </w:rPr>
                          <w:t xml:space="preserve"> </w:t>
                        </w:r>
                        <w:r w:rsidRPr="007067BC">
                          <w:rPr>
                            <w:rFonts w:ascii="Arial" w:eastAsia="Arial" w:hAnsi="Arial" w:cs="Arial"/>
                            <w:sz w:val="21"/>
                            <w:szCs w:val="21"/>
                            <w:lang w:val="fr"/>
                          </w:rPr>
                          <w:t>»</w:t>
                        </w:r>
                      </w:p>
                      <w:p w14:paraId="75934C65" w14:textId="2EE6A738" w:rsidR="00465AEA" w:rsidRDefault="00465AEA" w:rsidP="007067BC">
                        <w:pPr>
                          <w:pStyle w:val="NormalWeb"/>
                          <w:spacing w:line="360" w:lineRule="auto"/>
                          <w:jc w:val="both"/>
                          <w:rPr>
                            <w:rFonts w:ascii="Arial" w:eastAsia="Arial" w:hAnsi="Arial" w:cs="Arial"/>
                            <w:sz w:val="21"/>
                            <w:szCs w:val="21"/>
                            <w:lang w:val="fr"/>
                          </w:rPr>
                        </w:pPr>
                      </w:p>
                      <w:p w14:paraId="4AE2AA18" w14:textId="77777777" w:rsidR="00465AEA" w:rsidRPr="00E74568" w:rsidRDefault="00465AEA" w:rsidP="00465AEA">
                        <w:pPr>
                          <w:spacing w:line="360" w:lineRule="auto"/>
                          <w:rPr>
                            <w:b/>
                            <w:sz w:val="20"/>
                          </w:rPr>
                        </w:pPr>
                        <w:r w:rsidRPr="00E74568">
                          <w:rPr>
                            <w:b/>
                            <w:sz w:val="20"/>
                          </w:rPr>
                          <w:t>Contact presse :</w:t>
                        </w:r>
                      </w:p>
                      <w:p w14:paraId="61A9D1CE" w14:textId="01606E3E" w:rsidR="00465AEA" w:rsidRPr="00465AEA" w:rsidRDefault="00465AEA" w:rsidP="00465AEA">
                        <w:pPr>
                          <w:spacing w:line="360" w:lineRule="auto"/>
                          <w:rPr>
                            <w:sz w:val="21"/>
                            <w:szCs w:val="21"/>
                          </w:rPr>
                        </w:pPr>
                        <w:r w:rsidRPr="00465AEA">
                          <w:rPr>
                            <w:sz w:val="21"/>
                            <w:szCs w:val="21"/>
                          </w:rPr>
                          <w:t xml:space="preserve">Secrétariat du </w:t>
                        </w:r>
                        <w:r w:rsidR="0074087A" w:rsidRPr="00465AEA">
                          <w:rPr>
                            <w:sz w:val="21"/>
                            <w:szCs w:val="21"/>
                          </w:rPr>
                          <w:t>Haut-commissariat</w:t>
                        </w:r>
                        <w:r w:rsidRPr="00465AEA">
                          <w:rPr>
                            <w:sz w:val="21"/>
                            <w:szCs w:val="21"/>
                          </w:rPr>
                          <w:t xml:space="preserve"> à l'emploi et à l'engagement des entreprises (HC3E) </w:t>
                        </w:r>
                        <w:hyperlink r:id="rId8" w:history="1">
                          <w:r w:rsidRPr="00465AEA">
                            <w:rPr>
                              <w:sz w:val="21"/>
                              <w:szCs w:val="21"/>
                            </w:rPr>
                            <w:t>sec.hc3e@cab.travail.gouv.fr</w:t>
                          </w:r>
                        </w:hyperlink>
                        <w:r>
                          <w:rPr>
                            <w:sz w:val="21"/>
                            <w:szCs w:val="21"/>
                          </w:rPr>
                          <w:t xml:space="preserve"> </w:t>
                        </w:r>
                        <w:r w:rsidRPr="00465AEA">
                          <w:rPr>
                            <w:sz w:val="21"/>
                            <w:szCs w:val="21"/>
                          </w:rPr>
                          <w:t xml:space="preserve"> </w:t>
                        </w:r>
                      </w:p>
                      <w:tbl>
                        <w:tblPr>
                          <w:tblW w:w="5000" w:type="pct"/>
                          <w:tblCellMar>
                            <w:left w:w="0" w:type="dxa"/>
                            <w:right w:w="0" w:type="dxa"/>
                          </w:tblCellMar>
                          <w:tblLook w:val="04A0" w:firstRow="1" w:lastRow="0" w:firstColumn="1" w:lastColumn="0" w:noHBand="0" w:noVBand="1"/>
                        </w:tblPr>
                        <w:tblGrid>
                          <w:gridCol w:w="8896"/>
                        </w:tblGrid>
                        <w:tr w:rsidR="00C52DF2" w:rsidRPr="007067BC" w14:paraId="23C22F44" w14:textId="77777777">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59"/>
                              </w:tblGrid>
                              <w:tr w:rsidR="00C52DF2" w:rsidRPr="007067BC" w14:paraId="2CF53540" w14:textId="77777777">
                                <w:trPr>
                                  <w:trHeight w:val="150"/>
                                  <w:jc w:val="center"/>
                                </w:trPr>
                                <w:tc>
                                  <w:tcPr>
                                    <w:tcW w:w="0" w:type="auto"/>
                                    <w:vAlign w:val="center"/>
                                    <w:hideMark/>
                                  </w:tcPr>
                                  <w:p w14:paraId="4852D654" w14:textId="77777777" w:rsidR="00C52DF2" w:rsidRPr="007067BC" w:rsidRDefault="00C52DF2" w:rsidP="007067BC">
                                    <w:pPr>
                                      <w:spacing w:line="360" w:lineRule="auto"/>
                                      <w:rPr>
                                        <w:sz w:val="21"/>
                                        <w:szCs w:val="21"/>
                                      </w:rPr>
                                    </w:pPr>
                                    <w:r w:rsidRPr="007067BC">
                                      <w:rPr>
                                        <w:sz w:val="21"/>
                                        <w:szCs w:val="21"/>
                                      </w:rPr>
                                      <w:t xml:space="preserve">  </w:t>
                                    </w:r>
                                  </w:p>
                                </w:tc>
                              </w:tr>
                            </w:tbl>
                            <w:p w14:paraId="56089ED5" w14:textId="77777777" w:rsidR="00C52DF2" w:rsidRPr="007067BC" w:rsidRDefault="00C52DF2" w:rsidP="007067BC">
                              <w:pPr>
                                <w:spacing w:line="360" w:lineRule="auto"/>
                                <w:jc w:val="center"/>
                                <w:rPr>
                                  <w:sz w:val="21"/>
                                  <w:szCs w:val="21"/>
                                </w:rPr>
                              </w:pPr>
                            </w:p>
                          </w:tc>
                        </w:tr>
                      </w:tbl>
                      <w:p w14:paraId="6B9C0E08" w14:textId="77777777" w:rsidR="00C52DF2" w:rsidRPr="007067BC" w:rsidRDefault="00C52DF2" w:rsidP="007067BC">
                        <w:pPr>
                          <w:spacing w:line="360" w:lineRule="auto"/>
                          <w:rPr>
                            <w:sz w:val="21"/>
                            <w:szCs w:val="21"/>
                          </w:rPr>
                        </w:pPr>
                      </w:p>
                    </w:tc>
                  </w:tr>
                </w:tbl>
                <w:p w14:paraId="2BFCBEB8" w14:textId="77777777" w:rsidR="00C52DF2" w:rsidRPr="007067BC" w:rsidRDefault="00C52DF2" w:rsidP="007067BC">
                  <w:pPr>
                    <w:spacing w:line="360" w:lineRule="auto"/>
                    <w:jc w:val="center"/>
                    <w:rPr>
                      <w:sz w:val="21"/>
                      <w:szCs w:val="21"/>
                    </w:rPr>
                  </w:pPr>
                </w:p>
              </w:tc>
            </w:tr>
          </w:tbl>
          <w:p w14:paraId="5BC39EAF" w14:textId="77777777" w:rsidR="00C52DF2" w:rsidRPr="007067BC" w:rsidRDefault="00C52DF2" w:rsidP="007067BC">
            <w:pPr>
              <w:spacing w:line="360" w:lineRule="auto"/>
              <w:jc w:val="center"/>
              <w:rPr>
                <w:sz w:val="21"/>
                <w:szCs w:val="21"/>
              </w:rPr>
            </w:pPr>
          </w:p>
        </w:tc>
      </w:tr>
    </w:tbl>
    <w:p w14:paraId="07B5041E" w14:textId="311AEDF5" w:rsidR="009E724E" w:rsidRDefault="009E724E" w:rsidP="007067BC">
      <w:pPr>
        <w:spacing w:line="360" w:lineRule="auto"/>
        <w:jc w:val="both"/>
      </w:pPr>
    </w:p>
    <w:p w14:paraId="2C83EF68" w14:textId="77777777" w:rsidR="009E724E" w:rsidRPr="0018347F" w:rsidRDefault="009E724E" w:rsidP="007067BC">
      <w:pPr>
        <w:spacing w:line="360" w:lineRule="auto"/>
        <w:jc w:val="both"/>
      </w:pPr>
    </w:p>
    <w:sectPr w:rsidR="009E724E" w:rsidRPr="0018347F">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FE091" w14:textId="77777777" w:rsidR="00327420" w:rsidRDefault="00327420">
      <w:pPr>
        <w:spacing w:line="240" w:lineRule="auto"/>
      </w:pPr>
      <w:r>
        <w:separator/>
      </w:r>
    </w:p>
  </w:endnote>
  <w:endnote w:type="continuationSeparator" w:id="0">
    <w:p w14:paraId="3E0BCABF" w14:textId="77777777" w:rsidR="00327420" w:rsidRDefault="00327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axRounded">
    <w:altName w:val="Calibri"/>
    <w:panose1 w:val="00000000000000000000"/>
    <w:charset w:val="00"/>
    <w:family w:val="modern"/>
    <w:notTrueType/>
    <w:pitch w:val="variable"/>
    <w:sig w:usb0="00000003" w:usb1="00000000" w:usb2="00000000" w:usb3="00000000" w:csb0="00000001" w:csb1="00000000"/>
  </w:font>
  <w:font w:name="Muli Light">
    <w:altName w:val="Liberation Mono"/>
    <w:charset w:val="00"/>
    <w:family w:val="auto"/>
    <w:pitch w:val="variable"/>
    <w:sig w:usb0="00000001"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D69CF" w14:textId="77777777" w:rsidR="00327420" w:rsidRDefault="00327420">
      <w:pPr>
        <w:spacing w:line="240" w:lineRule="auto"/>
      </w:pPr>
      <w:r>
        <w:separator/>
      </w:r>
    </w:p>
  </w:footnote>
  <w:footnote w:type="continuationSeparator" w:id="0">
    <w:p w14:paraId="2DCA1939" w14:textId="77777777" w:rsidR="00327420" w:rsidRDefault="00327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5C77C" w14:textId="123AA9BC" w:rsidR="00F3112B" w:rsidRDefault="00BD6471">
    <w:pPr>
      <w:pStyle w:val="En-tte"/>
    </w:pPr>
    <w:r w:rsidRPr="005B13FC">
      <w:rPr>
        <w:b/>
        <w:bCs/>
        <w:noProof/>
        <w:lang w:val="fr-FR"/>
      </w:rPr>
      <w:drawing>
        <wp:anchor distT="0" distB="0" distL="114300" distR="114300" simplePos="0" relativeHeight="251659264" behindDoc="0" locked="0" layoutInCell="1" allowOverlap="1" wp14:anchorId="5ABE2CCB" wp14:editId="06E68FAB">
          <wp:simplePos x="0" y="0"/>
          <wp:positionH relativeFrom="margin">
            <wp:posOffset>-602615</wp:posOffset>
          </wp:positionH>
          <wp:positionV relativeFrom="margin">
            <wp:posOffset>-788035</wp:posOffset>
          </wp:positionV>
          <wp:extent cx="2787650" cy="884467"/>
          <wp:effectExtent l="0" t="0" r="0" b="0"/>
          <wp:wrapSquare wrapText="bothSides"/>
          <wp:docPr id="7" name="Image 7" descr="cid:image001.png@01D6A247.73067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6A247.730678B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6326"/>
                  <a:stretch/>
                </pic:blipFill>
                <pic:spPr bwMode="auto">
                  <a:xfrm>
                    <a:off x="0" y="0"/>
                    <a:ext cx="2787650" cy="884467"/>
                  </a:xfrm>
                  <a:prstGeom prst="rect">
                    <a:avLst/>
                  </a:prstGeom>
                  <a:noFill/>
                  <a:ln>
                    <a:noFill/>
                  </a:ln>
                  <a:extLst>
                    <a:ext uri="{53640926-AAD7-44D8-BBD7-CCE9431645EC}">
                      <a14:shadowObscured xmlns:a14="http://schemas.microsoft.com/office/drawing/2010/main"/>
                    </a:ext>
                  </a:extLst>
                </pic:spPr>
              </pic:pic>
            </a:graphicData>
          </a:graphic>
        </wp:anchor>
      </w:drawing>
    </w:r>
    <w:r w:rsidR="00F3112B">
      <w:rPr>
        <w:rFonts w:ascii="MaaxRounded" w:hAnsi="MaaxRounded" w:cs="Muli Light"/>
        <w:b/>
        <w:bCs/>
        <w:noProof/>
        <w:color w:val="1F497D" w:themeColor="text2"/>
        <w:sz w:val="28"/>
        <w:szCs w:val="28"/>
        <w:lang w:val="fr-FR"/>
      </w:rPr>
      <w:drawing>
        <wp:anchor distT="0" distB="0" distL="114300" distR="114300" simplePos="0" relativeHeight="251661312" behindDoc="0" locked="0" layoutInCell="1" allowOverlap="1" wp14:anchorId="0511FD52" wp14:editId="3BA80E3F">
          <wp:simplePos x="0" y="0"/>
          <wp:positionH relativeFrom="margin">
            <wp:posOffset>4979035</wp:posOffset>
          </wp:positionH>
          <wp:positionV relativeFrom="topMargin">
            <wp:posOffset>146050</wp:posOffset>
          </wp:positionV>
          <wp:extent cx="1155700" cy="733425"/>
          <wp:effectExtent l="0" t="0" r="0" b="9525"/>
          <wp:wrapSquare wrapText="bothSides"/>
          <wp:docPr id="2" name="Image 2" descr="C:\Users\siegrid.henry\AppData\Local\Microsoft\Windows\INetCache\Content.Word\Fond transparent_RVB_Logo_Les entreprises s'engagent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egrid.henry\AppData\Local\Microsoft\Windows\INetCache\Content.Word\Fond transparent_RVB_Logo_Les entreprises s'engagent (7).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5570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06F8"/>
    <w:multiLevelType w:val="hybridMultilevel"/>
    <w:tmpl w:val="6B2C086A"/>
    <w:lvl w:ilvl="0" w:tplc="AE42CF4E">
      <w:start w:val="1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521B33"/>
    <w:multiLevelType w:val="multilevel"/>
    <w:tmpl w:val="777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57217A"/>
    <w:multiLevelType w:val="hybridMultilevel"/>
    <w:tmpl w:val="E9C0E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5F3A4B"/>
    <w:multiLevelType w:val="hybridMultilevel"/>
    <w:tmpl w:val="F8A0C4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EF6857"/>
    <w:multiLevelType w:val="hybridMultilevel"/>
    <w:tmpl w:val="24448C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BD"/>
    <w:rsid w:val="00053561"/>
    <w:rsid w:val="00057CDE"/>
    <w:rsid w:val="0007520B"/>
    <w:rsid w:val="00093F02"/>
    <w:rsid w:val="000A3703"/>
    <w:rsid w:val="000B638D"/>
    <w:rsid w:val="000C65E3"/>
    <w:rsid w:val="000E6E86"/>
    <w:rsid w:val="00137475"/>
    <w:rsid w:val="00145BFF"/>
    <w:rsid w:val="00156324"/>
    <w:rsid w:val="0018347F"/>
    <w:rsid w:val="001A693D"/>
    <w:rsid w:val="001D6497"/>
    <w:rsid w:val="001F6979"/>
    <w:rsid w:val="00212840"/>
    <w:rsid w:val="0027412C"/>
    <w:rsid w:val="002742EF"/>
    <w:rsid w:val="00275DF4"/>
    <w:rsid w:val="00282861"/>
    <w:rsid w:val="00312B32"/>
    <w:rsid w:val="00327420"/>
    <w:rsid w:val="00341070"/>
    <w:rsid w:val="00370543"/>
    <w:rsid w:val="00382587"/>
    <w:rsid w:val="00392E51"/>
    <w:rsid w:val="003B27AF"/>
    <w:rsid w:val="003B2FA8"/>
    <w:rsid w:val="003C5005"/>
    <w:rsid w:val="003C5C2F"/>
    <w:rsid w:val="003D77E8"/>
    <w:rsid w:val="00427B42"/>
    <w:rsid w:val="00465AEA"/>
    <w:rsid w:val="004B5B10"/>
    <w:rsid w:val="004D59F1"/>
    <w:rsid w:val="00513452"/>
    <w:rsid w:val="00570BB9"/>
    <w:rsid w:val="00584A78"/>
    <w:rsid w:val="00585600"/>
    <w:rsid w:val="005A69BD"/>
    <w:rsid w:val="005B00DE"/>
    <w:rsid w:val="005B326C"/>
    <w:rsid w:val="005B7E33"/>
    <w:rsid w:val="005C10EA"/>
    <w:rsid w:val="005D563B"/>
    <w:rsid w:val="005E7FFC"/>
    <w:rsid w:val="0065141A"/>
    <w:rsid w:val="00663A92"/>
    <w:rsid w:val="00684300"/>
    <w:rsid w:val="006A2416"/>
    <w:rsid w:val="006B0E16"/>
    <w:rsid w:val="006B55EA"/>
    <w:rsid w:val="006D4CCF"/>
    <w:rsid w:val="006F32EF"/>
    <w:rsid w:val="0070284A"/>
    <w:rsid w:val="007067BC"/>
    <w:rsid w:val="0074087A"/>
    <w:rsid w:val="007958BD"/>
    <w:rsid w:val="007A263E"/>
    <w:rsid w:val="007C378F"/>
    <w:rsid w:val="007E0DF3"/>
    <w:rsid w:val="007E13E5"/>
    <w:rsid w:val="007E681E"/>
    <w:rsid w:val="0084661A"/>
    <w:rsid w:val="0085075C"/>
    <w:rsid w:val="008B103B"/>
    <w:rsid w:val="008F2B16"/>
    <w:rsid w:val="00901D28"/>
    <w:rsid w:val="00916F5A"/>
    <w:rsid w:val="00923C5C"/>
    <w:rsid w:val="00927B03"/>
    <w:rsid w:val="00941184"/>
    <w:rsid w:val="00960E9E"/>
    <w:rsid w:val="00962ABF"/>
    <w:rsid w:val="00970FCC"/>
    <w:rsid w:val="009A05C4"/>
    <w:rsid w:val="009E724E"/>
    <w:rsid w:val="00A43240"/>
    <w:rsid w:val="00A47C86"/>
    <w:rsid w:val="00AA1AA1"/>
    <w:rsid w:val="00AA778D"/>
    <w:rsid w:val="00AB007E"/>
    <w:rsid w:val="00AD3E25"/>
    <w:rsid w:val="00AE4DC4"/>
    <w:rsid w:val="00B0228C"/>
    <w:rsid w:val="00B168B7"/>
    <w:rsid w:val="00B25692"/>
    <w:rsid w:val="00B92CAF"/>
    <w:rsid w:val="00BD4892"/>
    <w:rsid w:val="00BD6471"/>
    <w:rsid w:val="00C038C4"/>
    <w:rsid w:val="00C52DF2"/>
    <w:rsid w:val="00C6590D"/>
    <w:rsid w:val="00C80010"/>
    <w:rsid w:val="00C930B3"/>
    <w:rsid w:val="00CB034E"/>
    <w:rsid w:val="00D4018B"/>
    <w:rsid w:val="00D45101"/>
    <w:rsid w:val="00D47F72"/>
    <w:rsid w:val="00D9776F"/>
    <w:rsid w:val="00DB6C49"/>
    <w:rsid w:val="00DC0442"/>
    <w:rsid w:val="00DC2EA5"/>
    <w:rsid w:val="00E00E9C"/>
    <w:rsid w:val="00E03047"/>
    <w:rsid w:val="00E03EA9"/>
    <w:rsid w:val="00E4285B"/>
    <w:rsid w:val="00E74568"/>
    <w:rsid w:val="00E748DE"/>
    <w:rsid w:val="00F0301C"/>
    <w:rsid w:val="00F3112B"/>
    <w:rsid w:val="00F41C6A"/>
    <w:rsid w:val="00F641B6"/>
    <w:rsid w:val="00F80DD0"/>
    <w:rsid w:val="00F87FCE"/>
    <w:rsid w:val="00F962EB"/>
    <w:rsid w:val="00FE7374"/>
    <w:rsid w:val="00FF2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F4ED"/>
  <w15:docId w15:val="{42B517FC-5E0C-C34A-9F6A-272E4D11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Lienhypertexte">
    <w:name w:val="Hyperlink"/>
    <w:basedOn w:val="Policepardfaut"/>
    <w:uiPriority w:val="99"/>
    <w:unhideWhenUsed/>
    <w:rsid w:val="005D563B"/>
    <w:rPr>
      <w:color w:val="0000FF" w:themeColor="hyperlink"/>
      <w:u w:val="single"/>
    </w:rPr>
  </w:style>
  <w:style w:type="paragraph" w:styleId="Paragraphedeliste">
    <w:name w:val="List Paragraph"/>
    <w:basedOn w:val="Normal"/>
    <w:uiPriority w:val="34"/>
    <w:qFormat/>
    <w:rsid w:val="00C038C4"/>
    <w:pPr>
      <w:spacing w:after="160" w:line="259" w:lineRule="auto"/>
      <w:ind w:left="720"/>
      <w:contextualSpacing/>
    </w:pPr>
    <w:rPr>
      <w:rFonts w:asciiTheme="minorHAnsi" w:eastAsiaTheme="minorHAnsi" w:hAnsiTheme="minorHAnsi" w:cstheme="minorBidi"/>
      <w:lang w:val="fr-FR" w:eastAsia="en-US"/>
    </w:rPr>
  </w:style>
  <w:style w:type="character" w:styleId="Accentuation">
    <w:name w:val="Emphasis"/>
    <w:basedOn w:val="Policepardfaut"/>
    <w:uiPriority w:val="20"/>
    <w:qFormat/>
    <w:rsid w:val="005A69BD"/>
    <w:rPr>
      <w:i/>
      <w:iCs/>
    </w:rPr>
  </w:style>
  <w:style w:type="character" w:customStyle="1" w:styleId="elementor-icon-list-text">
    <w:name w:val="elementor-icon-list-text"/>
    <w:basedOn w:val="Policepardfaut"/>
    <w:rsid w:val="00941184"/>
  </w:style>
  <w:style w:type="character" w:styleId="lev">
    <w:name w:val="Strong"/>
    <w:basedOn w:val="Policepardfaut"/>
    <w:uiPriority w:val="22"/>
    <w:qFormat/>
    <w:rsid w:val="00941184"/>
    <w:rPr>
      <w:b/>
      <w:bCs/>
    </w:rPr>
  </w:style>
  <w:style w:type="paragraph" w:styleId="Textedebulles">
    <w:name w:val="Balloon Text"/>
    <w:basedOn w:val="Normal"/>
    <w:link w:val="TextedebullesCar"/>
    <w:uiPriority w:val="99"/>
    <w:semiHidden/>
    <w:unhideWhenUsed/>
    <w:rsid w:val="005B00D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00DE"/>
    <w:rPr>
      <w:rFonts w:ascii="Segoe UI" w:hAnsi="Segoe UI" w:cs="Segoe UI"/>
      <w:sz w:val="18"/>
      <w:szCs w:val="18"/>
    </w:rPr>
  </w:style>
  <w:style w:type="paragraph" w:styleId="Rvision">
    <w:name w:val="Revision"/>
    <w:hidden/>
    <w:uiPriority w:val="99"/>
    <w:semiHidden/>
    <w:rsid w:val="00E03EA9"/>
    <w:pPr>
      <w:spacing w:line="240" w:lineRule="auto"/>
    </w:pPr>
  </w:style>
  <w:style w:type="paragraph" w:styleId="Notedebasdepage">
    <w:name w:val="footnote text"/>
    <w:basedOn w:val="Normal"/>
    <w:link w:val="NotedebasdepageCar"/>
    <w:uiPriority w:val="99"/>
    <w:semiHidden/>
    <w:unhideWhenUsed/>
    <w:rsid w:val="00B168B7"/>
    <w:pPr>
      <w:spacing w:line="240" w:lineRule="auto"/>
    </w:pPr>
    <w:rPr>
      <w:sz w:val="20"/>
      <w:szCs w:val="20"/>
    </w:rPr>
  </w:style>
  <w:style w:type="character" w:customStyle="1" w:styleId="NotedebasdepageCar">
    <w:name w:val="Note de bas de page Car"/>
    <w:basedOn w:val="Policepardfaut"/>
    <w:link w:val="Notedebasdepage"/>
    <w:uiPriority w:val="99"/>
    <w:semiHidden/>
    <w:rsid w:val="00B168B7"/>
    <w:rPr>
      <w:sz w:val="20"/>
      <w:szCs w:val="20"/>
    </w:rPr>
  </w:style>
  <w:style w:type="character" w:styleId="Appelnotedebasdep">
    <w:name w:val="footnote reference"/>
    <w:basedOn w:val="Policepardfaut"/>
    <w:uiPriority w:val="99"/>
    <w:semiHidden/>
    <w:unhideWhenUsed/>
    <w:rsid w:val="00B168B7"/>
    <w:rPr>
      <w:vertAlign w:val="superscript"/>
    </w:rPr>
  </w:style>
  <w:style w:type="paragraph" w:styleId="NormalWeb">
    <w:name w:val="Normal (Web)"/>
    <w:basedOn w:val="Normal"/>
    <w:uiPriority w:val="99"/>
    <w:unhideWhenUsed/>
    <w:rsid w:val="009E724E"/>
    <w:pPr>
      <w:spacing w:before="100" w:beforeAutospacing="1" w:after="100" w:afterAutospacing="1" w:line="240" w:lineRule="auto"/>
    </w:pPr>
    <w:rPr>
      <w:rFonts w:ascii="Times New Roman" w:eastAsiaTheme="minorHAnsi" w:hAnsi="Times New Roman" w:cs="Times New Roman"/>
      <w:sz w:val="24"/>
      <w:szCs w:val="24"/>
      <w:lang w:val="fr-FR"/>
    </w:rPr>
  </w:style>
  <w:style w:type="paragraph" w:styleId="Corpsdetexte">
    <w:name w:val="Body Text"/>
    <w:basedOn w:val="Normal"/>
    <w:link w:val="CorpsdetexteCar"/>
    <w:uiPriority w:val="1"/>
    <w:semiHidden/>
    <w:unhideWhenUsed/>
    <w:rsid w:val="00C52DF2"/>
    <w:pPr>
      <w:autoSpaceDE w:val="0"/>
      <w:autoSpaceDN w:val="0"/>
      <w:spacing w:line="240" w:lineRule="auto"/>
    </w:pPr>
    <w:rPr>
      <w:rFonts w:eastAsiaTheme="minorHAnsi"/>
      <w:sz w:val="20"/>
      <w:szCs w:val="20"/>
      <w:lang w:val="fr-FR" w:eastAsia="en-US"/>
    </w:rPr>
  </w:style>
  <w:style w:type="character" w:customStyle="1" w:styleId="CorpsdetexteCar">
    <w:name w:val="Corps de texte Car"/>
    <w:basedOn w:val="Policepardfaut"/>
    <w:link w:val="Corpsdetexte"/>
    <w:uiPriority w:val="1"/>
    <w:semiHidden/>
    <w:rsid w:val="00C52DF2"/>
    <w:rPr>
      <w:rFonts w:eastAsiaTheme="minorHAnsi"/>
      <w:sz w:val="20"/>
      <w:szCs w:val="20"/>
      <w:lang w:val="fr-FR" w:eastAsia="en-US"/>
    </w:rPr>
  </w:style>
  <w:style w:type="table" w:styleId="Grilledutableau">
    <w:name w:val="Table Grid"/>
    <w:basedOn w:val="TableauNormal"/>
    <w:uiPriority w:val="39"/>
    <w:rsid w:val="00C52D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112B"/>
    <w:pPr>
      <w:tabs>
        <w:tab w:val="center" w:pos="4536"/>
        <w:tab w:val="right" w:pos="9072"/>
      </w:tabs>
      <w:spacing w:line="240" w:lineRule="auto"/>
    </w:pPr>
  </w:style>
  <w:style w:type="character" w:customStyle="1" w:styleId="En-tteCar">
    <w:name w:val="En-tête Car"/>
    <w:basedOn w:val="Policepardfaut"/>
    <w:link w:val="En-tte"/>
    <w:uiPriority w:val="99"/>
    <w:rsid w:val="00F3112B"/>
  </w:style>
  <w:style w:type="paragraph" w:styleId="Pieddepage">
    <w:name w:val="footer"/>
    <w:basedOn w:val="Normal"/>
    <w:link w:val="PieddepageCar"/>
    <w:uiPriority w:val="99"/>
    <w:unhideWhenUsed/>
    <w:rsid w:val="00F3112B"/>
    <w:pPr>
      <w:tabs>
        <w:tab w:val="center" w:pos="4536"/>
        <w:tab w:val="right" w:pos="9072"/>
      </w:tabs>
      <w:spacing w:line="240" w:lineRule="auto"/>
    </w:pPr>
  </w:style>
  <w:style w:type="character" w:customStyle="1" w:styleId="PieddepageCar">
    <w:name w:val="Pied de page Car"/>
    <w:basedOn w:val="Policepardfaut"/>
    <w:link w:val="Pieddepage"/>
    <w:uiPriority w:val="99"/>
    <w:rsid w:val="00F3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6651">
      <w:bodyDiv w:val="1"/>
      <w:marLeft w:val="0"/>
      <w:marRight w:val="0"/>
      <w:marTop w:val="0"/>
      <w:marBottom w:val="0"/>
      <w:divBdr>
        <w:top w:val="none" w:sz="0" w:space="0" w:color="auto"/>
        <w:left w:val="none" w:sz="0" w:space="0" w:color="auto"/>
        <w:bottom w:val="none" w:sz="0" w:space="0" w:color="auto"/>
        <w:right w:val="none" w:sz="0" w:space="0" w:color="auto"/>
      </w:divBdr>
    </w:div>
    <w:div w:id="542600025">
      <w:bodyDiv w:val="1"/>
      <w:marLeft w:val="0"/>
      <w:marRight w:val="0"/>
      <w:marTop w:val="0"/>
      <w:marBottom w:val="0"/>
      <w:divBdr>
        <w:top w:val="none" w:sz="0" w:space="0" w:color="auto"/>
        <w:left w:val="none" w:sz="0" w:space="0" w:color="auto"/>
        <w:bottom w:val="none" w:sz="0" w:space="0" w:color="auto"/>
        <w:right w:val="none" w:sz="0" w:space="0" w:color="auto"/>
      </w:divBdr>
    </w:div>
    <w:div w:id="847253963">
      <w:bodyDiv w:val="1"/>
      <w:marLeft w:val="0"/>
      <w:marRight w:val="0"/>
      <w:marTop w:val="0"/>
      <w:marBottom w:val="0"/>
      <w:divBdr>
        <w:top w:val="none" w:sz="0" w:space="0" w:color="auto"/>
        <w:left w:val="none" w:sz="0" w:space="0" w:color="auto"/>
        <w:bottom w:val="none" w:sz="0" w:space="0" w:color="auto"/>
        <w:right w:val="none" w:sz="0" w:space="0" w:color="auto"/>
      </w:divBdr>
    </w:div>
    <w:div w:id="881789904">
      <w:bodyDiv w:val="1"/>
      <w:marLeft w:val="0"/>
      <w:marRight w:val="0"/>
      <w:marTop w:val="0"/>
      <w:marBottom w:val="0"/>
      <w:divBdr>
        <w:top w:val="none" w:sz="0" w:space="0" w:color="auto"/>
        <w:left w:val="none" w:sz="0" w:space="0" w:color="auto"/>
        <w:bottom w:val="none" w:sz="0" w:space="0" w:color="auto"/>
        <w:right w:val="none" w:sz="0" w:space="0" w:color="auto"/>
      </w:divBdr>
    </w:div>
    <w:div w:id="1499347517">
      <w:bodyDiv w:val="1"/>
      <w:marLeft w:val="0"/>
      <w:marRight w:val="0"/>
      <w:marTop w:val="0"/>
      <w:marBottom w:val="0"/>
      <w:divBdr>
        <w:top w:val="none" w:sz="0" w:space="0" w:color="auto"/>
        <w:left w:val="none" w:sz="0" w:space="0" w:color="auto"/>
        <w:bottom w:val="none" w:sz="0" w:space="0" w:color="auto"/>
        <w:right w:val="none" w:sz="0" w:space="0" w:color="auto"/>
      </w:divBdr>
    </w:div>
    <w:div w:id="1629775032">
      <w:bodyDiv w:val="1"/>
      <w:marLeft w:val="0"/>
      <w:marRight w:val="0"/>
      <w:marTop w:val="0"/>
      <w:marBottom w:val="0"/>
      <w:divBdr>
        <w:top w:val="none" w:sz="0" w:space="0" w:color="auto"/>
        <w:left w:val="none" w:sz="0" w:space="0" w:color="auto"/>
        <w:bottom w:val="none" w:sz="0" w:space="0" w:color="auto"/>
        <w:right w:val="none" w:sz="0" w:space="0" w:color="auto"/>
      </w:divBdr>
    </w:div>
    <w:div w:id="1902910942">
      <w:bodyDiv w:val="1"/>
      <w:marLeft w:val="0"/>
      <w:marRight w:val="0"/>
      <w:marTop w:val="0"/>
      <w:marBottom w:val="0"/>
      <w:divBdr>
        <w:top w:val="none" w:sz="0" w:space="0" w:color="auto"/>
        <w:left w:val="none" w:sz="0" w:space="0" w:color="auto"/>
        <w:bottom w:val="none" w:sz="0" w:space="0" w:color="auto"/>
        <w:right w:val="none" w:sz="0" w:space="0" w:color="auto"/>
      </w:divBdr>
    </w:div>
    <w:div w:id="1928266676">
      <w:bodyDiv w:val="1"/>
      <w:marLeft w:val="0"/>
      <w:marRight w:val="0"/>
      <w:marTop w:val="0"/>
      <w:marBottom w:val="0"/>
      <w:divBdr>
        <w:top w:val="none" w:sz="0" w:space="0" w:color="auto"/>
        <w:left w:val="none" w:sz="0" w:space="0" w:color="auto"/>
        <w:bottom w:val="none" w:sz="0" w:space="0" w:color="auto"/>
        <w:right w:val="none" w:sz="0" w:space="0" w:color="auto"/>
      </w:divBdr>
    </w:div>
    <w:div w:id="1990091410">
      <w:bodyDiv w:val="1"/>
      <w:marLeft w:val="0"/>
      <w:marRight w:val="0"/>
      <w:marTop w:val="0"/>
      <w:marBottom w:val="0"/>
      <w:divBdr>
        <w:top w:val="none" w:sz="0" w:space="0" w:color="auto"/>
        <w:left w:val="none" w:sz="0" w:space="0" w:color="auto"/>
        <w:bottom w:val="none" w:sz="0" w:space="0" w:color="auto"/>
        <w:right w:val="none" w:sz="0" w:space="0" w:color="auto"/>
      </w:divBdr>
    </w:div>
    <w:div w:id="2036494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hc3e@cab.travail.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17545573774ad799913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6B5A9-05C0-4284-A815-38395C76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2486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VAN-ELSLANDE, Anne-Sophie (DICOM/INFLUENCE ET DIGITAL)</dc:creator>
  <cp:lastModifiedBy>PINATEL-IGOA, Florence (DICOM/INFLUENCE ET DIGITAL)</cp:lastModifiedBy>
  <cp:revision>2</cp:revision>
  <dcterms:created xsi:type="dcterms:W3CDTF">2022-03-17T15:29:00Z</dcterms:created>
  <dcterms:modified xsi:type="dcterms:W3CDTF">2022-03-17T15:29:00Z</dcterms:modified>
</cp:coreProperties>
</file>