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88" w:rsidRDefault="005D5E21">
      <w:pPr>
        <w:ind w:left="114"/>
        <w:rPr>
          <w:rFonts w:ascii="Times New Roman"/>
          <w:sz w:val="20"/>
        </w:rPr>
      </w:pPr>
      <w:r>
        <w:rPr>
          <w:rFonts w:ascii="Times New Roman"/>
          <w:spacing w:val="80"/>
          <w:sz w:val="20"/>
        </w:rPr>
        <w:t xml:space="preserve"> </w:t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734057" cy="106694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C_mai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188" w:rsidRDefault="00CE7188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:rsidR="00CE7188" w:rsidRDefault="00CE7188">
      <w:pPr>
        <w:pStyle w:val="Corpsdetexte"/>
        <w:rPr>
          <w:rFonts w:ascii="Times New Roman"/>
          <w:sz w:val="20"/>
        </w:rPr>
      </w:pPr>
    </w:p>
    <w:p w:rsidR="00CE7188" w:rsidRDefault="00CE7188">
      <w:pPr>
        <w:pStyle w:val="Corpsdetexte"/>
        <w:rPr>
          <w:rFonts w:ascii="Times New Roman"/>
          <w:sz w:val="20"/>
        </w:rPr>
      </w:pPr>
    </w:p>
    <w:p w:rsidR="00CE7188" w:rsidRDefault="00CE7188">
      <w:pPr>
        <w:pStyle w:val="Corpsdetexte"/>
        <w:rPr>
          <w:rFonts w:ascii="Times New Roman"/>
          <w:sz w:val="20"/>
        </w:rPr>
      </w:pPr>
    </w:p>
    <w:p w:rsidR="00CE7188" w:rsidRDefault="00CE7188">
      <w:pPr>
        <w:pStyle w:val="Corpsdetexte"/>
        <w:rPr>
          <w:rFonts w:ascii="Times New Roman"/>
          <w:sz w:val="20"/>
        </w:rPr>
      </w:pPr>
    </w:p>
    <w:p w:rsidR="00CE7188" w:rsidRDefault="005D5E21">
      <w:pPr>
        <w:pStyle w:val="Titre1"/>
        <w:spacing w:before="160"/>
      </w:pPr>
      <w:r>
        <w:t>Communiqué de presse</w:t>
      </w:r>
    </w:p>
    <w:p w:rsidR="00CE7188" w:rsidRDefault="00CE7188">
      <w:pPr>
        <w:pStyle w:val="Corpsdetexte"/>
        <w:spacing w:before="1"/>
        <w:rPr>
          <w:b/>
          <w:sz w:val="28"/>
        </w:rPr>
      </w:pPr>
    </w:p>
    <w:p w:rsidR="00CE7188" w:rsidRDefault="005D5E21">
      <w:pPr>
        <w:ind w:left="207" w:right="209"/>
        <w:jc w:val="center"/>
        <w:rPr>
          <w:b/>
          <w:sz w:val="28"/>
        </w:rPr>
      </w:pPr>
      <w:r>
        <w:rPr>
          <w:b/>
          <w:sz w:val="28"/>
        </w:rPr>
        <w:t>Lancement d’une nouvelle vague de l’appel à projets « 100% Inclusion » destinée aux résidents des quartiers prioritaires de la politique de la ville (QPV)</w:t>
      </w:r>
    </w:p>
    <w:p w:rsidR="00CE7188" w:rsidRDefault="00CE7188">
      <w:pPr>
        <w:pStyle w:val="Corpsdetexte"/>
        <w:rPr>
          <w:b/>
          <w:sz w:val="24"/>
        </w:rPr>
      </w:pPr>
    </w:p>
    <w:p w:rsidR="00CE7188" w:rsidRDefault="005D5E21">
      <w:pPr>
        <w:ind w:right="109"/>
        <w:jc w:val="right"/>
        <w:rPr>
          <w:sz w:val="24"/>
        </w:rPr>
      </w:pPr>
      <w:r>
        <w:rPr>
          <w:sz w:val="24"/>
        </w:rPr>
        <w:t>Paris, le 4 février 2021</w:t>
      </w:r>
    </w:p>
    <w:p w:rsidR="00CE7188" w:rsidRDefault="00CE7188">
      <w:pPr>
        <w:pStyle w:val="Corpsdetexte"/>
        <w:rPr>
          <w:sz w:val="24"/>
        </w:rPr>
      </w:pPr>
    </w:p>
    <w:p w:rsidR="00CE7188" w:rsidRDefault="00CE7188">
      <w:pPr>
        <w:pStyle w:val="Corpsdetexte"/>
        <w:spacing w:before="12"/>
        <w:rPr>
          <w:sz w:val="23"/>
        </w:rPr>
      </w:pPr>
    </w:p>
    <w:p w:rsidR="00CE7188" w:rsidRDefault="005D5E21">
      <w:pPr>
        <w:pStyle w:val="Corpsdetexte"/>
        <w:ind w:left="112" w:right="109"/>
        <w:jc w:val="both"/>
      </w:pPr>
      <w:r>
        <w:t>Programme</w:t>
      </w:r>
      <w:r>
        <w:rPr>
          <w:spacing w:val="-10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d’investissement</w:t>
      </w:r>
      <w:r>
        <w:rPr>
          <w:spacing w:val="-13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compétences</w:t>
      </w:r>
      <w:r>
        <w:rPr>
          <w:spacing w:val="-12"/>
        </w:rPr>
        <w:t xml:space="preserve"> </w:t>
      </w:r>
      <w:r>
        <w:t>(PIC),</w:t>
      </w:r>
      <w:r>
        <w:rPr>
          <w:spacing w:val="-11"/>
        </w:rPr>
        <w:t xml:space="preserve"> </w:t>
      </w:r>
      <w:r>
        <w:t>l’appel</w:t>
      </w:r>
      <w:r>
        <w:rPr>
          <w:spacing w:val="-10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projets</w:t>
      </w:r>
      <w:r>
        <w:rPr>
          <w:spacing w:val="-11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100%</w:t>
      </w:r>
      <w:r>
        <w:rPr>
          <w:spacing w:val="-12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 xml:space="preserve">finance des projets innovants destinés aux personnes éloignées de l’emploi, demandeurs d’emploi peu ou pas qualifiés ou les jeunes sortis sans qualification du </w:t>
      </w:r>
      <w:r>
        <w:rPr>
          <w:spacing w:val="-3"/>
        </w:rPr>
        <w:t>système</w:t>
      </w:r>
      <w:r>
        <w:rPr>
          <w:spacing w:val="-4"/>
        </w:rPr>
        <w:t xml:space="preserve"> </w:t>
      </w:r>
      <w:r>
        <w:t>scolaire.</w:t>
      </w:r>
    </w:p>
    <w:p w:rsidR="00CE7188" w:rsidRDefault="00CE7188">
      <w:pPr>
        <w:pStyle w:val="Corpsdetexte"/>
        <w:spacing w:before="1"/>
      </w:pPr>
    </w:p>
    <w:p w:rsidR="00CE7188" w:rsidRDefault="005D5E21">
      <w:pPr>
        <w:ind w:left="112" w:right="109"/>
        <w:jc w:val="both"/>
      </w:pPr>
      <w:r>
        <w:rPr>
          <w:b/>
        </w:rPr>
        <w:t>Lors du comité in</w:t>
      </w:r>
      <w:r>
        <w:rPr>
          <w:b/>
        </w:rPr>
        <w:t xml:space="preserve">terministériel des villes, le gouvernement a décidé de lancer une nouvelle vague de cet appel à projets pour accompagner les résidents des quartiers prioritaires de la politique de la ville </w:t>
      </w:r>
      <w:r>
        <w:t xml:space="preserve">particulièrement touchés par la crise sanitaire du Covid-19 et la </w:t>
      </w:r>
      <w:r>
        <w:t>crise économique.</w:t>
      </w:r>
    </w:p>
    <w:p w:rsidR="00CE7188" w:rsidRDefault="00CE7188">
      <w:pPr>
        <w:pStyle w:val="Corpsdetexte"/>
        <w:spacing w:before="10"/>
        <w:rPr>
          <w:sz w:val="21"/>
        </w:rPr>
      </w:pPr>
    </w:p>
    <w:p w:rsidR="00CE7188" w:rsidRDefault="005D5E21">
      <w:pPr>
        <w:pStyle w:val="Corpsdetexte"/>
        <w:spacing w:before="1"/>
        <w:ind w:left="112" w:right="108"/>
        <w:jc w:val="both"/>
      </w:pPr>
      <w:r>
        <w:t>Cette nouvelle vague</w:t>
      </w:r>
      <w:r>
        <w:rPr>
          <w:b/>
        </w:rPr>
        <w:t xml:space="preserve">, </w:t>
      </w:r>
      <w:r>
        <w:t>dotée de 50 millions d’euros</w:t>
      </w:r>
      <w:r>
        <w:rPr>
          <w:b/>
        </w:rPr>
        <w:t xml:space="preserve">, </w:t>
      </w:r>
      <w:r>
        <w:t>va permettre d’expérimenter ou de démultiplier des approches</w:t>
      </w:r>
      <w:r>
        <w:rPr>
          <w:spacing w:val="-9"/>
        </w:rPr>
        <w:t xml:space="preserve"> </w:t>
      </w:r>
      <w:r>
        <w:t>innovantes</w:t>
      </w:r>
      <w:r>
        <w:rPr>
          <w:spacing w:val="-10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l’objectif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remobiliser</w:t>
      </w:r>
      <w:r>
        <w:rPr>
          <w:spacing w:val="-1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d’accompagner</w:t>
      </w:r>
      <w:r>
        <w:rPr>
          <w:spacing w:val="-8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demandeurs</w:t>
      </w:r>
      <w:r>
        <w:rPr>
          <w:spacing w:val="-9"/>
        </w:rPr>
        <w:t xml:space="preserve"> </w:t>
      </w:r>
      <w:r>
        <w:t>d’emploi</w:t>
      </w:r>
      <w:r>
        <w:rPr>
          <w:spacing w:val="-11"/>
        </w:rPr>
        <w:t xml:space="preserve"> </w:t>
      </w:r>
      <w:r>
        <w:t>vulnérables, de longue durée, peu ou pas qualifiés, les femmes en difficultés, les jeunes et les personnes en situation d’illettrisme et parfois aussi</w:t>
      </w:r>
      <w:r>
        <w:rPr>
          <w:spacing w:val="-6"/>
        </w:rPr>
        <w:t xml:space="preserve"> </w:t>
      </w:r>
      <w:r>
        <w:t>d’</w:t>
      </w:r>
      <w:proofErr w:type="spellStart"/>
      <w:r>
        <w:t>illectronisme</w:t>
      </w:r>
      <w:proofErr w:type="spellEnd"/>
      <w:r>
        <w:t>.</w:t>
      </w:r>
    </w:p>
    <w:p w:rsidR="00CE7188" w:rsidRDefault="00CE7188">
      <w:pPr>
        <w:pStyle w:val="Corpsdetexte"/>
        <w:spacing w:before="1"/>
      </w:pPr>
    </w:p>
    <w:p w:rsidR="00CE7188" w:rsidRDefault="005D5E21">
      <w:pPr>
        <w:pStyle w:val="Corpsdetexte"/>
        <w:ind w:left="112" w:right="109"/>
        <w:jc w:val="both"/>
      </w:pPr>
      <w:r>
        <w:t>Les projets devront apporter une réponse complète à la pluralité de fragilités auxquelles ces publics sont confrontés, en organisant des parcours « sans couture » avec un accompagnement de la remobilisation jusqu’au retour à l’emploi.</w:t>
      </w:r>
    </w:p>
    <w:p w:rsidR="00CE7188" w:rsidRDefault="00CE7188">
      <w:pPr>
        <w:pStyle w:val="Corpsdetexte"/>
        <w:spacing w:before="11"/>
        <w:rPr>
          <w:sz w:val="21"/>
        </w:rPr>
      </w:pPr>
    </w:p>
    <w:p w:rsidR="00CE7188" w:rsidRDefault="005D5E21">
      <w:pPr>
        <w:pStyle w:val="Corpsdetexte"/>
        <w:ind w:left="112" w:right="107"/>
        <w:jc w:val="both"/>
      </w:pPr>
      <w:r>
        <w:t>L’objet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cet</w:t>
      </w:r>
      <w:r>
        <w:rPr>
          <w:spacing w:val="-7"/>
        </w:rPr>
        <w:t xml:space="preserve"> </w:t>
      </w:r>
      <w:r>
        <w:t>appel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projets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susciter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nouvelles</w:t>
      </w:r>
      <w:r>
        <w:rPr>
          <w:spacing w:val="-7"/>
        </w:rPr>
        <w:t xml:space="preserve"> </w:t>
      </w:r>
      <w:r>
        <w:t>façons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répondre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ces</w:t>
      </w:r>
      <w:r>
        <w:rPr>
          <w:spacing w:val="-9"/>
        </w:rPr>
        <w:t xml:space="preserve"> </w:t>
      </w:r>
      <w:r>
        <w:t>difficultés,</w:t>
      </w:r>
      <w:r>
        <w:rPr>
          <w:spacing w:val="-7"/>
        </w:rPr>
        <w:t xml:space="preserve"> </w:t>
      </w:r>
      <w:r>
        <w:t>notamment</w:t>
      </w:r>
      <w:r>
        <w:rPr>
          <w:spacing w:val="-9"/>
        </w:rPr>
        <w:t xml:space="preserve"> </w:t>
      </w:r>
      <w:r>
        <w:t>en invitant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acteurs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terrain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cumuler</w:t>
      </w:r>
      <w:r>
        <w:rPr>
          <w:spacing w:val="-8"/>
        </w:rPr>
        <w:t xml:space="preserve"> </w:t>
      </w:r>
      <w:r>
        <w:t>leurs</w:t>
      </w:r>
      <w:r>
        <w:rPr>
          <w:spacing w:val="-8"/>
        </w:rPr>
        <w:t xml:space="preserve"> </w:t>
      </w:r>
      <w:r>
        <w:t>forces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décloisonner</w:t>
      </w:r>
      <w:r>
        <w:rPr>
          <w:spacing w:val="-7"/>
        </w:rPr>
        <w:t xml:space="preserve"> </w:t>
      </w:r>
      <w:r>
        <w:t>leurs</w:t>
      </w:r>
      <w:r>
        <w:rPr>
          <w:spacing w:val="-8"/>
        </w:rPr>
        <w:t xml:space="preserve"> </w:t>
      </w:r>
      <w:r>
        <w:t>interventions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soutien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des projets qui débordent les cadres habituels</w:t>
      </w:r>
      <w:r>
        <w:rPr>
          <w:spacing w:val="-6"/>
        </w:rPr>
        <w:t xml:space="preserve"> </w:t>
      </w:r>
      <w:r>
        <w:t>d’intervention.</w:t>
      </w:r>
    </w:p>
    <w:p w:rsidR="00CE7188" w:rsidRDefault="00CE7188">
      <w:pPr>
        <w:pStyle w:val="Corpsdetexte"/>
        <w:spacing w:before="1"/>
      </w:pPr>
    </w:p>
    <w:p w:rsidR="00CE7188" w:rsidRDefault="005D5E21">
      <w:pPr>
        <w:pStyle w:val="Corpsdetexte"/>
        <w:ind w:left="112" w:right="110"/>
        <w:jc w:val="both"/>
      </w:pPr>
      <w:r>
        <w:t>L’appel à projets est ouvert à toute structure publique ou privée ; le décloisonnement des approches et l’association d’expertises complémentaires sont fortement attendus.</w:t>
      </w:r>
    </w:p>
    <w:p w:rsidR="00CE7188" w:rsidRDefault="00CE7188">
      <w:pPr>
        <w:pStyle w:val="Corpsdetexte"/>
      </w:pPr>
    </w:p>
    <w:p w:rsidR="00CE7188" w:rsidRDefault="00CE7188">
      <w:pPr>
        <w:pStyle w:val="Corpsdetexte"/>
        <w:spacing w:before="4"/>
      </w:pPr>
    </w:p>
    <w:p w:rsidR="00CE7188" w:rsidRDefault="005D5E21">
      <w:pPr>
        <w:pStyle w:val="Corpsdetexte"/>
        <w:spacing w:line="237" w:lineRule="auto"/>
        <w:ind w:left="112" w:right="2665"/>
      </w:pPr>
      <w:r>
        <w:t xml:space="preserve">Retrouvez le cahier des charges et déposez votre projet : </w:t>
      </w:r>
      <w:hyperlink r:id="rId5">
        <w:r>
          <w:rPr>
            <w:color w:val="0562C1"/>
            <w:u w:val="single" w:color="0562C1"/>
          </w:rPr>
          <w:t>https://bit.ly/2NZXHQf</w:t>
        </w:r>
      </w:hyperlink>
    </w:p>
    <w:p w:rsidR="00CE7188" w:rsidRDefault="00CE7188">
      <w:pPr>
        <w:pStyle w:val="Corpsdetexte"/>
        <w:rPr>
          <w:sz w:val="20"/>
        </w:rPr>
      </w:pPr>
    </w:p>
    <w:p w:rsidR="00CE7188" w:rsidRDefault="00CE7188">
      <w:pPr>
        <w:pStyle w:val="Corpsdetexte"/>
        <w:rPr>
          <w:sz w:val="20"/>
        </w:rPr>
      </w:pPr>
    </w:p>
    <w:p w:rsidR="00CE7188" w:rsidRDefault="00CE7188">
      <w:pPr>
        <w:pStyle w:val="Corpsdetexte"/>
        <w:spacing w:before="7"/>
        <w:rPr>
          <w:sz w:val="21"/>
        </w:rPr>
      </w:pPr>
    </w:p>
    <w:p w:rsidR="00CE7188" w:rsidRDefault="005D5E21">
      <w:pPr>
        <w:pStyle w:val="Corpsdetexte"/>
        <w:spacing w:before="56"/>
        <w:ind w:left="207" w:right="207"/>
        <w:jc w:val="center"/>
      </w:pPr>
      <w:r>
        <w:t>Contact :</w:t>
      </w:r>
      <w:hyperlink r:id="rId6">
        <w:r>
          <w:rPr>
            <w:color w:val="0562C1"/>
            <w:u w:val="single" w:color="0562C1"/>
          </w:rPr>
          <w:t xml:space="preserve"> sec.presse.competences@cab.travail.gouv.fr</w:t>
        </w:r>
      </w:hyperlink>
    </w:p>
    <w:sectPr w:rsidR="00CE7188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7188"/>
    <w:rsid w:val="005D5E21"/>
    <w:rsid w:val="00C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C2D93-A1A1-40B8-9789-42A47CB1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07" w:right="206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presse.competences@cab.travail.gouv.fr" TargetMode="External"/><Relationship Id="rId5" Type="http://schemas.openxmlformats.org/officeDocument/2006/relationships/hyperlink" Target="https://urldefense.proofpoint.com/v2/url?u=https-3A__bit.ly_2NZXHQf&amp;d=DwMFAA&amp;c=BMMjOd5rMwijTOshDELeaSyLbdw3FGdGqNcuGNpHb2g&amp;r=DSz5us3Tdcvs2XJ0qRvrDOjaOFo6CJaL-1xcoeo9Yn81m8zuXdX4uJY5-hj1ksoH&amp;m=NYwMK41nlozdiJnlBOpBUkyXWjFttTGLKHDlqildexQ&amp;s=S8uNAxtwOY2gUmgqrSZenJLiUQL8Ht4E6nwO6oG08eo&amp;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Wibaux-Dassaud, Marie</dc:creator>
  <cp:lastModifiedBy>PINATEL-IGOA, Florence (DICOM/BUREAU DE LA COMMUNICATION DIGITALE)</cp:lastModifiedBy>
  <cp:revision>2</cp:revision>
  <dcterms:created xsi:type="dcterms:W3CDTF">2021-02-04T16:19:00Z</dcterms:created>
  <dcterms:modified xsi:type="dcterms:W3CDTF">2021-02-04T16:22:00Z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2021-02-04T00:00:00Z</vt:filetime>
  </property>
</Properties>
</file>