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54DE0" w:rsidRPr="00A54DE0" w:rsidTr="00A54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7"/>
              <w:gridCol w:w="135"/>
            </w:tblGrid>
            <w:tr w:rsidR="00A54DE0" w:rsidRPr="00A54DE0">
              <w:tc>
                <w:tcPr>
                  <w:tcW w:w="97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7"/>
                  </w:tblGrid>
                  <w:tr w:rsidR="00A54DE0" w:rsidRPr="00A54DE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37"/>
                        </w:tblGrid>
                        <w:tr w:rsidR="00A54DE0" w:rsidRPr="00A54DE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37"/>
                              </w:tblGrid>
                              <w:tr w:rsidR="00A54DE0" w:rsidRPr="00A54DE0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300" w:type="dxa"/>
                                      <w:bottom w:w="75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37"/>
                                    </w:tblGrid>
                                    <w:tr w:rsidR="00A54DE0" w:rsidRPr="00A54DE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4DE0" w:rsidRPr="00A54DE0" w:rsidRDefault="00A54DE0" w:rsidP="00A54DE0">
                                          <w:pPr>
                                            <w:spacing w:after="0" w:line="21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156BA5"/>
                                              <w:sz w:val="20"/>
                                              <w:szCs w:val="20"/>
                                              <w:lang w:eastAsia="fr-FR"/>
                                            </w:rPr>
                                          </w:pPr>
                                          <w:r w:rsidRPr="00A54DE0">
                                            <w:rPr>
                                              <w:rFonts w:ascii="Arial" w:eastAsia="Times New Roman" w:hAnsi="Arial" w:cs="Arial"/>
                                              <w:color w:val="156BA5"/>
                                              <w:sz w:val="20"/>
                                              <w:szCs w:val="20"/>
                                              <w:lang w:eastAsia="fr-FR"/>
                                            </w:rPr>
                                            <w:t>Si vous avez des difficultés à visualiser cet email, </w:t>
                                          </w:r>
                                          <w:hyperlink r:id="rId5" w:tgtFrame="_blank" w:history="1">
                                            <w:r w:rsidRPr="00A54DE0">
                                              <w:rPr>
                                                <w:rFonts w:ascii="Arial" w:eastAsia="Times New Roman" w:hAnsi="Arial" w:cs="Arial"/>
                                                <w:color w:val="156BA5"/>
                                                <w:sz w:val="20"/>
                                                <w:szCs w:val="20"/>
                                                <w:u w:val="single"/>
                                                <w:bdr w:val="none" w:sz="0" w:space="0" w:color="auto" w:frame="1"/>
                                                <w:lang w:eastAsia="fr-FR"/>
                                              </w:rPr>
                                              <w:t>suivez ce lien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A54DE0" w:rsidRPr="00A54DE0" w:rsidRDefault="00A54DE0" w:rsidP="00A54DE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DE0" w:rsidRPr="00A54DE0" w:rsidRDefault="00A54DE0" w:rsidP="00A54D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A54DE0" w:rsidRPr="00A54DE0" w:rsidRDefault="00A54DE0" w:rsidP="00A5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A54DE0" w:rsidRPr="00A54DE0" w:rsidRDefault="00A54DE0" w:rsidP="00A5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DE0" w:rsidRPr="00A54DE0" w:rsidRDefault="00A54DE0" w:rsidP="00A5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54DE0" w:rsidRPr="00A54DE0" w:rsidRDefault="00A54DE0" w:rsidP="00A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54DE0" w:rsidRPr="00A54DE0" w:rsidTr="00A54DE0">
        <w:tblPrEx>
          <w:shd w:val="clear" w:color="auto" w:fill="auto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54DE0" w:rsidRPr="00A54DE0">
              <w:trPr>
                <w:trHeight w:val="150"/>
              </w:trPr>
              <w:tc>
                <w:tcPr>
                  <w:tcW w:w="9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54DE0" w:rsidRPr="00A54DE0" w:rsidRDefault="00A54DE0" w:rsidP="00A54DE0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fr-FR"/>
                    </w:rPr>
                  </w:pPr>
                  <w:r w:rsidRPr="00A54D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</w:tr>
          </w:tbl>
          <w:p w:rsidR="00A54DE0" w:rsidRPr="00A54DE0" w:rsidRDefault="00A54DE0" w:rsidP="00A54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"/>
              <w:gridCol w:w="8812"/>
              <w:gridCol w:w="130"/>
            </w:tblGrid>
            <w:tr w:rsidR="00A54DE0" w:rsidRPr="00A54DE0"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54DE0" w:rsidRPr="00A54DE0" w:rsidRDefault="00A54DE0" w:rsidP="00A5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2"/>
                  </w:tblGrid>
                  <w:tr w:rsidR="00A54DE0" w:rsidRPr="00A54DE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12"/>
                        </w:tblGrid>
                        <w:tr w:rsidR="00A54DE0" w:rsidRPr="00A54DE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12"/>
                              </w:tblGrid>
                              <w:tr w:rsidR="00A54DE0" w:rsidRPr="00A54DE0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12"/>
                                    </w:tblGrid>
                                    <w:tr w:rsidR="00A54DE0" w:rsidRPr="00A54DE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910"/>
                                          </w:tblGrid>
                                          <w:tr w:rsidR="00A54DE0" w:rsidRPr="00A54DE0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54DE0" w:rsidRPr="00A54DE0" w:rsidRDefault="00A54DE0" w:rsidP="00A54DE0">
                                                <w:pPr>
                                                  <w:spacing w:after="0" w:line="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fr-FR"/>
                                                  </w:rPr>
                                                </w:pPr>
                                                <w:r w:rsidRPr="00A54DE0">
                                                  <w:rPr>
                                                    <w:noProof/>
                                                    <w:lang w:eastAsia="fr-FR"/>
                                                  </w:rPr>
                                                  <w:drawing>
                                                    <wp:inline distT="0" distB="0" distL="0" distR="0" wp14:anchorId="22C05A52" wp14:editId="51B88F01">
                                                      <wp:extent cx="1847285" cy="1537252"/>
                                                      <wp:effectExtent l="0" t="0" r="635" b="6350"/>
                                                      <wp:docPr id="1" name="Image 1" descr="C:\Users\aurelie.soulard\AppData\Local\Microsoft\Windows\INetCache\Content.MSO\327202E6.tmp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C:\Users\aurelie.soulard\AppData\Local\Microsoft\Windows\INetCache\Content.MSO\327202E6.tmp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867279" cy="15538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54DE0" w:rsidRPr="00A54DE0" w:rsidRDefault="00A54DE0" w:rsidP="00A54DE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54DE0" w:rsidRPr="00A54DE0" w:rsidRDefault="00A54DE0" w:rsidP="00A54DE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"/>
                                    </w:tblGrid>
                                    <w:tr w:rsidR="00A54DE0" w:rsidRPr="00A54DE0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4DE0" w:rsidRPr="00A54DE0" w:rsidRDefault="00A54DE0" w:rsidP="00A54DE0">
                                          <w:pPr>
                                            <w:spacing w:after="0" w:line="30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0"/>
                                              <w:szCs w:val="30"/>
                                              <w:lang w:eastAsia="fr-FR"/>
                                            </w:rPr>
                                          </w:pPr>
                                          <w:r w:rsidRPr="00A54DE0">
                                            <w:rPr>
                                              <w:rFonts w:ascii="Times New Roman" w:eastAsia="Times New Roman" w:hAnsi="Times New Roman" w:cs="Times New Roman"/>
                                              <w:sz w:val="30"/>
                                              <w:szCs w:val="30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4DE0" w:rsidRPr="00A54DE0" w:rsidRDefault="00A54DE0" w:rsidP="00A54DE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DE0" w:rsidRPr="00A54DE0" w:rsidRDefault="00A54DE0" w:rsidP="00A54D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A54DE0" w:rsidRPr="00A54DE0" w:rsidRDefault="00A54DE0" w:rsidP="00A5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A54DE0" w:rsidRPr="00A54DE0" w:rsidRDefault="00A54DE0" w:rsidP="00A5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54DE0" w:rsidRPr="00A54DE0" w:rsidRDefault="00A54DE0" w:rsidP="00A5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54DE0" w:rsidRPr="00A54DE0" w:rsidRDefault="00A54DE0" w:rsidP="00A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54DE0" w:rsidRPr="00A54DE0" w:rsidRDefault="00A54DE0" w:rsidP="00A5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54DE0" w:rsidRPr="00A54DE0" w:rsidTr="00A54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"/>
              <w:gridCol w:w="8807"/>
              <w:gridCol w:w="132"/>
            </w:tblGrid>
            <w:tr w:rsidR="00A54DE0" w:rsidRPr="00A54DE0"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54DE0" w:rsidRPr="00A54DE0" w:rsidRDefault="00A54DE0" w:rsidP="00A54DE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fr-FR"/>
                    </w:rPr>
                  </w:pPr>
                </w:p>
              </w:tc>
              <w:tc>
                <w:tcPr>
                  <w:tcW w:w="9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7"/>
                  </w:tblGrid>
                  <w:tr w:rsidR="00A54DE0" w:rsidRPr="00A54DE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7"/>
                        </w:tblGrid>
                        <w:tr w:rsidR="00A54DE0" w:rsidRPr="00A54DE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7"/>
                              </w:tblGrid>
                              <w:tr w:rsidR="00A54DE0" w:rsidRPr="00A54DE0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07"/>
                                    </w:tblGrid>
                                    <w:tr w:rsidR="00A54DE0" w:rsidRPr="00A54DE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4DE0" w:rsidRPr="00A54DE0" w:rsidRDefault="00A54DE0" w:rsidP="00A54DE0">
                                          <w:pPr>
                                            <w:spacing w:after="0" w:line="39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</w:pPr>
                                          <w:r w:rsidRPr="00A54DE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w:t>COMMUNIQUE DE PRESSE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4DE0" w:rsidRPr="00A54DE0" w:rsidRDefault="00A54DE0" w:rsidP="00A54DE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"/>
                                    </w:tblGrid>
                                    <w:tr w:rsidR="00A54DE0" w:rsidRPr="00A54DE0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4DE0" w:rsidRPr="00A54DE0" w:rsidRDefault="00A54DE0" w:rsidP="00A54DE0">
                                          <w:pPr>
                                            <w:spacing w:after="0" w:line="30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0"/>
                                              <w:szCs w:val="30"/>
                                              <w:lang w:eastAsia="fr-FR"/>
                                            </w:rPr>
                                          </w:pPr>
                                          <w:r w:rsidRPr="00A54DE0">
                                            <w:rPr>
                                              <w:rFonts w:ascii="Times New Roman" w:eastAsia="Times New Roman" w:hAnsi="Times New Roman" w:cs="Times New Roman"/>
                                              <w:sz w:val="30"/>
                                              <w:szCs w:val="30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4DE0" w:rsidRPr="00A54DE0" w:rsidRDefault="00A54DE0" w:rsidP="00A54DE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DE0" w:rsidRPr="00A54DE0" w:rsidRDefault="00A54DE0" w:rsidP="00A54D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A54DE0" w:rsidRPr="00A54DE0" w:rsidRDefault="00A54DE0" w:rsidP="00A5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A54DE0" w:rsidRPr="00A54DE0" w:rsidRDefault="00A54DE0" w:rsidP="00A5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54DE0" w:rsidRPr="00A54DE0" w:rsidRDefault="00A54DE0" w:rsidP="00A5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54DE0" w:rsidRPr="00A54DE0" w:rsidRDefault="00A54DE0" w:rsidP="00A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54DE0" w:rsidRPr="00A54DE0" w:rsidTr="00A54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8803"/>
              <w:gridCol w:w="134"/>
            </w:tblGrid>
            <w:tr w:rsidR="00A54DE0" w:rsidRPr="00A54DE0"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54DE0" w:rsidRPr="00A54DE0" w:rsidRDefault="00A54DE0" w:rsidP="00A54DE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fr-FR"/>
                    </w:rPr>
                  </w:pPr>
                </w:p>
              </w:tc>
              <w:tc>
                <w:tcPr>
                  <w:tcW w:w="9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3"/>
                  </w:tblGrid>
                  <w:tr w:rsidR="00A54DE0" w:rsidRPr="00A54DE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3"/>
                        </w:tblGrid>
                        <w:tr w:rsidR="00A54DE0" w:rsidRPr="00A54DE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3"/>
                              </w:tblGrid>
                              <w:tr w:rsidR="00A54DE0" w:rsidRPr="00A54DE0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03"/>
                                    </w:tblGrid>
                                    <w:tr w:rsidR="00A54DE0" w:rsidRPr="00A54DE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4DE0" w:rsidRPr="00A54DE0" w:rsidRDefault="00717721" w:rsidP="00717721">
                                          <w:pPr>
                                            <w:spacing w:after="0" w:line="39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w:t>Paris, le 17 JUIN 2021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4DE0" w:rsidRPr="00A54DE0" w:rsidRDefault="00A54DE0" w:rsidP="00A54DE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DE0" w:rsidRPr="00A54DE0" w:rsidRDefault="00A54DE0" w:rsidP="00A54D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A54DE0" w:rsidRPr="00A54DE0" w:rsidRDefault="00A54DE0" w:rsidP="00A5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A54DE0" w:rsidRPr="00A54DE0" w:rsidRDefault="00A54DE0" w:rsidP="00A5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54DE0" w:rsidRPr="00A54DE0" w:rsidRDefault="00A54DE0" w:rsidP="00A5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54DE0" w:rsidRPr="00A54DE0" w:rsidRDefault="00A54DE0" w:rsidP="00A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54DE0" w:rsidRPr="00A54DE0" w:rsidRDefault="00A54DE0" w:rsidP="00A5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54DE0" w:rsidRPr="00717721" w:rsidTr="00A54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"/>
              <w:gridCol w:w="8807"/>
              <w:gridCol w:w="133"/>
            </w:tblGrid>
            <w:tr w:rsidR="00A54DE0" w:rsidRPr="00717721" w:rsidTr="00717721"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54DE0" w:rsidRPr="00717721" w:rsidRDefault="00A54DE0" w:rsidP="00A54DE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17721" w:rsidRPr="00717721" w:rsidRDefault="00717721" w:rsidP="0071772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7721">
                    <w:rPr>
                      <w:b/>
                      <w:sz w:val="28"/>
                      <w:szCs w:val="28"/>
                    </w:rPr>
                    <w:t>Revalorisation des retraites agricoles les plus faibles</w:t>
                  </w:r>
                </w:p>
                <w:p w:rsidR="00717721" w:rsidRPr="00717721" w:rsidRDefault="00717721" w:rsidP="00717721">
                  <w:pPr>
                    <w:jc w:val="both"/>
                    <w:rPr>
                      <w:sz w:val="28"/>
                      <w:szCs w:val="28"/>
                    </w:rPr>
                  </w:pPr>
                  <w:r w:rsidRPr="00717721">
                    <w:rPr>
                      <w:sz w:val="28"/>
                      <w:szCs w:val="28"/>
                    </w:rPr>
                    <w:t>Comme l’a annoncé le Premier ministre le 23 avril dernier, la garantie de retraite minimale à 85 % du SMIC pour les anciens chefs d’exploi</w:t>
                  </w:r>
                  <w:r w:rsidR="00496A7C">
                    <w:rPr>
                      <w:sz w:val="28"/>
                      <w:szCs w:val="28"/>
                    </w:rPr>
                    <w:t>tation</w:t>
                  </w:r>
                  <w:r w:rsidRPr="00717721">
                    <w:rPr>
                      <w:sz w:val="28"/>
                      <w:szCs w:val="28"/>
                    </w:rPr>
                    <w:t xml:space="preserve"> agricole</w:t>
                  </w:r>
                  <w:bookmarkStart w:id="0" w:name="_GoBack"/>
                  <w:bookmarkEnd w:id="0"/>
                  <w:r w:rsidRPr="00717721">
                    <w:rPr>
                      <w:sz w:val="28"/>
                      <w:szCs w:val="28"/>
                    </w:rPr>
                    <w:t xml:space="preserve"> entrera en vigueur pour les pensions de novembre 2021, soit deux mois plus tôt que ce que prévoyait la loi du 3 juillet 2020. </w:t>
                  </w:r>
                </w:p>
                <w:p w:rsidR="00717721" w:rsidRPr="00717721" w:rsidRDefault="00717721" w:rsidP="00717721">
                  <w:pPr>
                    <w:jc w:val="both"/>
                    <w:rPr>
                      <w:sz w:val="28"/>
                      <w:szCs w:val="28"/>
                    </w:rPr>
                  </w:pPr>
                  <w:r w:rsidRPr="00717721">
                    <w:rPr>
                      <w:sz w:val="28"/>
                      <w:szCs w:val="28"/>
                    </w:rPr>
                    <w:t xml:space="preserve">Le décret d’application de cette mesure a été publié ce jour au Journal officiel et il montre la pleine mobilisation du Gouvernement qui tient ses engagements auprès des agriculteurs.  </w:t>
                  </w:r>
                </w:p>
                <w:p w:rsidR="00717721" w:rsidRPr="00717721" w:rsidRDefault="00717721" w:rsidP="00717721">
                  <w:pPr>
                    <w:jc w:val="both"/>
                    <w:rPr>
                      <w:sz w:val="28"/>
                      <w:szCs w:val="28"/>
                    </w:rPr>
                  </w:pPr>
                  <w:r w:rsidRPr="00717721">
                    <w:rPr>
                      <w:sz w:val="28"/>
                      <w:szCs w:val="28"/>
                    </w:rPr>
                    <w:t xml:space="preserve">Concrètement, ce sont 227 000 chefs d’exploitation agricole qui bénéficieront de cette revalorisation, avec une garantie de retraite minimale portée à 1 035 euros par mois, pour un coût évalué à 283 millions d’euros en 2022. En moyenne, ce sont 105 euros de retraite de plus chaque mois pour ces bénéficiaires de petites retraites. </w:t>
                  </w:r>
                </w:p>
                <w:p w:rsidR="00717721" w:rsidRPr="00717721" w:rsidRDefault="00717721" w:rsidP="00717721">
                  <w:pPr>
                    <w:jc w:val="both"/>
                    <w:rPr>
                      <w:sz w:val="28"/>
                      <w:szCs w:val="28"/>
                    </w:rPr>
                  </w:pPr>
                  <w:r w:rsidRPr="00717721">
                    <w:rPr>
                      <w:sz w:val="28"/>
                      <w:szCs w:val="28"/>
                    </w:rPr>
                    <w:t xml:space="preserve">Le Gouvernement se félicite également de l’adoption </w:t>
                  </w:r>
                  <w:r w:rsidR="00310E95">
                    <w:rPr>
                      <w:sz w:val="28"/>
                      <w:szCs w:val="28"/>
                    </w:rPr>
                    <w:t xml:space="preserve">à l’unanimité </w:t>
                  </w:r>
                  <w:r w:rsidRPr="00717721">
                    <w:rPr>
                      <w:sz w:val="28"/>
                      <w:szCs w:val="28"/>
                    </w:rPr>
                    <w:t>ce jour en première lecture à l’Assemblée nationale, de la proposition de loi visant à assurer la revalorisation des pensions de retraites agricoles les plus faibles.</w:t>
                  </w:r>
                </w:p>
                <w:p w:rsidR="00717721" w:rsidRPr="00717721" w:rsidRDefault="00717721" w:rsidP="00717721">
                  <w:pPr>
                    <w:jc w:val="both"/>
                    <w:rPr>
                      <w:sz w:val="28"/>
                      <w:szCs w:val="28"/>
                    </w:rPr>
                  </w:pPr>
                  <w:r w:rsidRPr="00717721">
                    <w:rPr>
                      <w:sz w:val="28"/>
                      <w:szCs w:val="28"/>
                    </w:rPr>
                    <w:t xml:space="preserve">Les débats d’aujourd’hui s’inscrivent dans </w:t>
                  </w:r>
                  <w:r w:rsidR="00206CF8">
                    <w:rPr>
                      <w:sz w:val="28"/>
                      <w:szCs w:val="28"/>
                    </w:rPr>
                    <w:t>le cadre d</w:t>
                  </w:r>
                  <w:r w:rsidRPr="00717721">
                    <w:rPr>
                      <w:sz w:val="28"/>
                      <w:szCs w:val="28"/>
                    </w:rPr>
                    <w:t xml:space="preserve">es travaux conduits depuis le début du quinquennat par le Gouvernement et la majorité en faveur des </w:t>
                  </w:r>
                  <w:r w:rsidRPr="00717721">
                    <w:rPr>
                      <w:sz w:val="28"/>
                      <w:szCs w:val="28"/>
                    </w:rPr>
                    <w:lastRenderedPageBreak/>
                    <w:t xml:space="preserve">petites retraites agricoles et </w:t>
                  </w:r>
                  <w:r w:rsidR="00206CF8">
                    <w:rPr>
                      <w:sz w:val="28"/>
                      <w:szCs w:val="28"/>
                    </w:rPr>
                    <w:t>de</w:t>
                  </w:r>
                  <w:r w:rsidRPr="00717721">
                    <w:rPr>
                      <w:sz w:val="28"/>
                      <w:szCs w:val="28"/>
                    </w:rPr>
                    <w:t xml:space="preserve"> l’amélioration de la situation particulière des anciens conjoints collaborateurs agricoles, à 75% des femmes. </w:t>
                  </w:r>
                </w:p>
                <w:p w:rsidR="00717721" w:rsidRPr="00717721" w:rsidRDefault="00717721" w:rsidP="00717721">
                  <w:pPr>
                    <w:jc w:val="both"/>
                    <w:rPr>
                      <w:sz w:val="28"/>
                      <w:szCs w:val="28"/>
                    </w:rPr>
                  </w:pPr>
                  <w:r w:rsidRPr="00717721">
                    <w:rPr>
                      <w:sz w:val="28"/>
                      <w:szCs w:val="28"/>
                    </w:rPr>
                    <w:t xml:space="preserve">En particulier, </w:t>
                  </w:r>
                  <w:r w:rsidR="00206CF8" w:rsidRPr="00717721">
                    <w:rPr>
                      <w:sz w:val="28"/>
                      <w:szCs w:val="28"/>
                    </w:rPr>
                    <w:t>en cas d’adoption définitive</w:t>
                  </w:r>
                  <w:r w:rsidR="00206CF8">
                    <w:rPr>
                      <w:sz w:val="28"/>
                      <w:szCs w:val="28"/>
                    </w:rPr>
                    <w:t xml:space="preserve"> de cette proposition de loi, </w:t>
                  </w:r>
                  <w:r w:rsidR="00206CF8" w:rsidRPr="00717721">
                    <w:rPr>
                      <w:sz w:val="28"/>
                      <w:szCs w:val="28"/>
                    </w:rPr>
                    <w:t>210 </w:t>
                  </w:r>
                  <w:r w:rsidR="00206CF8">
                    <w:rPr>
                      <w:sz w:val="28"/>
                      <w:szCs w:val="28"/>
                    </w:rPr>
                    <w:t>000 personnes</w:t>
                  </w:r>
                  <w:r w:rsidR="00206CF8" w:rsidRPr="00717721">
                    <w:rPr>
                      <w:sz w:val="28"/>
                      <w:szCs w:val="28"/>
                    </w:rPr>
                    <w:t xml:space="preserve"> </w:t>
                  </w:r>
                  <w:r w:rsidR="00206CF8">
                    <w:rPr>
                      <w:sz w:val="28"/>
                      <w:szCs w:val="28"/>
                    </w:rPr>
                    <w:t xml:space="preserve">bénéficieraient de cet </w:t>
                  </w:r>
                  <w:r w:rsidRPr="00717721">
                    <w:rPr>
                      <w:sz w:val="28"/>
                      <w:szCs w:val="28"/>
                    </w:rPr>
                    <w:t>alignement du minimum de retraite de base des conjoints-collaborateurs sur celui des chefs d’exploitation, qui a été voté à l’article 1</w:t>
                  </w:r>
                  <w:r w:rsidRPr="00717721">
                    <w:rPr>
                      <w:sz w:val="28"/>
                      <w:szCs w:val="28"/>
                      <w:vertAlign w:val="superscript"/>
                    </w:rPr>
                    <w:t>er</w:t>
                  </w:r>
                  <w:r w:rsidRPr="00717721">
                    <w:rPr>
                      <w:sz w:val="28"/>
                      <w:szCs w:val="28"/>
                    </w:rPr>
                    <w:t xml:space="preserve"> de cette proposition de </w:t>
                  </w:r>
                  <w:proofErr w:type="gramStart"/>
                  <w:r w:rsidRPr="00717721">
                    <w:rPr>
                      <w:sz w:val="28"/>
                      <w:szCs w:val="28"/>
                    </w:rPr>
                    <w:t>loi,.</w:t>
                  </w:r>
                  <w:proofErr w:type="gramEnd"/>
                  <w:r w:rsidRPr="00717721">
                    <w:rPr>
                      <w:sz w:val="28"/>
                      <w:szCs w:val="28"/>
                    </w:rPr>
                    <w:t xml:space="preserve"> Pour les femmes qui ont travaillé toute leur vie avec leur conjoint, cela représenterait une revalorisation de leur pension de retraite de près de 100 euros par mois en moyenne. </w:t>
                  </w:r>
                </w:p>
                <w:p w:rsidR="00717721" w:rsidRPr="00717721" w:rsidRDefault="00717721" w:rsidP="00717721">
                  <w:pPr>
                    <w:jc w:val="both"/>
                    <w:rPr>
                      <w:sz w:val="28"/>
                      <w:szCs w:val="28"/>
                    </w:rPr>
                  </w:pPr>
                  <w:r w:rsidRPr="00717721">
                    <w:rPr>
                      <w:sz w:val="28"/>
                      <w:szCs w:val="28"/>
                    </w:rPr>
                    <w:t xml:space="preserve">La proposition de loi telle qu’adoptée par </w:t>
                  </w:r>
                  <w:r w:rsidR="00310E95">
                    <w:rPr>
                      <w:sz w:val="28"/>
                      <w:szCs w:val="28"/>
                    </w:rPr>
                    <w:t>l’Assemblée nationale</w:t>
                  </w:r>
                  <w:r w:rsidRPr="00717721">
                    <w:rPr>
                      <w:sz w:val="28"/>
                      <w:szCs w:val="28"/>
                    </w:rPr>
                    <w:t xml:space="preserve"> en 1</w:t>
                  </w:r>
                  <w:r w:rsidRPr="00717721">
                    <w:rPr>
                      <w:sz w:val="28"/>
                      <w:szCs w:val="28"/>
                      <w:vertAlign w:val="superscript"/>
                    </w:rPr>
                    <w:t>ère</w:t>
                  </w:r>
                  <w:r w:rsidRPr="00717721">
                    <w:rPr>
                      <w:sz w:val="28"/>
                      <w:szCs w:val="28"/>
                    </w:rPr>
                    <w:t xml:space="preserve"> lecture permettrait également de renforcer l’information relative à l’allocation de solidarité aux personnes âgées, afin d’en limiter le non-recours particulièrement élevé dans le monde agricole.  Il appartient désormais au Sénat de poursuivre les travaux parlementaires sur ce texte. </w:t>
                  </w:r>
                </w:p>
                <w:p w:rsidR="00A54DE0" w:rsidRPr="00717721" w:rsidRDefault="00A54DE0" w:rsidP="00A5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54DE0" w:rsidRPr="00717721" w:rsidRDefault="00A54DE0" w:rsidP="00A5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A54DE0" w:rsidRPr="00717721" w:rsidRDefault="00A54DE0" w:rsidP="00A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A54DE0" w:rsidRPr="00A54DE0" w:rsidTr="00A54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"/>
              <w:gridCol w:w="8818"/>
              <w:gridCol w:w="127"/>
            </w:tblGrid>
            <w:tr w:rsidR="00A54DE0" w:rsidRPr="00A54DE0"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54DE0" w:rsidRPr="00A54DE0" w:rsidRDefault="00A54DE0" w:rsidP="00A54DE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fr-FR"/>
                    </w:rPr>
                  </w:pPr>
                </w:p>
              </w:tc>
              <w:tc>
                <w:tcPr>
                  <w:tcW w:w="9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8"/>
                  </w:tblGrid>
                  <w:tr w:rsidR="00A54DE0" w:rsidRPr="00A54DE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22"/>
                          <w:gridCol w:w="3296"/>
                        </w:tblGrid>
                        <w:tr w:rsidR="00A54DE0" w:rsidRPr="00A54DE0">
                          <w:trPr>
                            <w:jc w:val="center"/>
                          </w:trPr>
                          <w:tc>
                            <w:tcPr>
                              <w:tcW w:w="31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22"/>
                              </w:tblGrid>
                              <w:tr w:rsidR="00A54DE0" w:rsidRPr="00A54DE0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22"/>
                                    </w:tblGrid>
                                    <w:tr w:rsidR="00A54DE0" w:rsidRPr="00A54DE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4DE0" w:rsidRPr="00A54DE0" w:rsidRDefault="00A54DE0" w:rsidP="00A54DE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54DE0" w:rsidRPr="00A54DE0" w:rsidRDefault="00A54DE0" w:rsidP="00A54DE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22"/>
                                    </w:tblGrid>
                                    <w:tr w:rsidR="00A54DE0" w:rsidRPr="00A54DE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4DE0" w:rsidRPr="00A54DE0" w:rsidRDefault="00A54DE0" w:rsidP="00A54DE0">
                                          <w:pPr>
                                            <w:spacing w:after="0" w:line="330" w:lineRule="atLeast"/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</w:pPr>
                                          <w:r w:rsidRPr="00A54DE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93939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w:t>Secrétariat d'Etat chargé des retraites </w:t>
                                          </w:r>
                                        </w:p>
                                        <w:p w:rsidR="00A54DE0" w:rsidRPr="00A54DE0" w:rsidRDefault="00A54DE0" w:rsidP="00A54DE0">
                                          <w:pPr>
                                            <w:spacing w:after="0" w:line="330" w:lineRule="atLeast"/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</w:pPr>
                                          <w:proofErr w:type="gramStart"/>
                                          <w:r w:rsidRPr="00A54DE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93939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w:t>et</w:t>
                                          </w:r>
                                          <w:proofErr w:type="gramEnd"/>
                                          <w:r w:rsidRPr="00A54DE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93939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w:t xml:space="preserve"> de la santé au travail</w:t>
                                          </w:r>
                                        </w:p>
                                        <w:p w:rsidR="00A54DE0" w:rsidRPr="00A54DE0" w:rsidRDefault="00A54DE0" w:rsidP="00A54DE0">
                                          <w:pPr>
                                            <w:spacing w:after="0" w:line="330" w:lineRule="atLeast"/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</w:pPr>
                                          <w:r w:rsidRPr="00A54DE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93939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w:t>Cabinet de M. Laurent PIETRASZEWSKI</w:t>
                                          </w:r>
                                        </w:p>
                                        <w:p w:rsidR="00A54DE0" w:rsidRPr="00A54DE0" w:rsidRDefault="00A54DE0" w:rsidP="00A54DE0">
                                          <w:pPr>
                                            <w:spacing w:after="0" w:line="330" w:lineRule="atLeast"/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</w:pPr>
                                          <w:r w:rsidRPr="00A54DE0"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w:t>Tél : 01 49 55 31 79</w:t>
                                          </w:r>
                                        </w:p>
                                        <w:p w:rsidR="00A54DE0" w:rsidRPr="00A54DE0" w:rsidRDefault="00A54DE0" w:rsidP="00A54DE0">
                                          <w:pPr>
                                            <w:spacing w:after="0" w:line="330" w:lineRule="atLeast"/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</w:pPr>
                                          <w:r w:rsidRPr="00A54DE0"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w:t>Mél : </w:t>
                                          </w:r>
                                          <w:hyperlink r:id="rId7" w:tgtFrame="_blank" w:history="1">
                                            <w:r w:rsidRPr="00A54DE0">
                                              <w:rPr>
                                                <w:rFonts w:ascii="Arial" w:eastAsia="Times New Roman" w:hAnsi="Arial" w:cs="Arial"/>
                                                <w:color w:val="0595D6"/>
                                                <w:sz w:val="18"/>
                                                <w:szCs w:val="18"/>
                                                <w:u w:val="single"/>
                                                <w:bdr w:val="none" w:sz="0" w:space="0" w:color="auto" w:frame="1"/>
                                                <w:lang w:eastAsia="fr-FR"/>
                                              </w:rPr>
                                              <w:t>communication-retraites@retraites.gouv.fr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A54DE0" w:rsidRPr="00A54DE0" w:rsidRDefault="00A54DE0" w:rsidP="00A54DE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DE0" w:rsidRPr="00A54DE0" w:rsidRDefault="00A54DE0" w:rsidP="00A54D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1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96"/>
                              </w:tblGrid>
                              <w:tr w:rsidR="00A54DE0" w:rsidRPr="00A54DE0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28"/>
                                    </w:tblGrid>
                                    <w:tr w:rsidR="00A54DE0" w:rsidRPr="00A54DE0">
                                      <w:trPr>
                                        <w:trHeight w:val="1305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4DE0" w:rsidRPr="00A54DE0" w:rsidRDefault="00A54DE0" w:rsidP="00A54DE0">
                                          <w:pPr>
                                            <w:spacing w:after="0" w:line="130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131"/>
                                              <w:szCs w:val="131"/>
                                              <w:lang w:eastAsia="fr-FR"/>
                                            </w:rPr>
                                          </w:pPr>
                                          <w:r w:rsidRPr="00A54DE0">
                                            <w:rPr>
                                              <w:rFonts w:ascii="Times New Roman" w:eastAsia="Times New Roman" w:hAnsi="Times New Roman" w:cs="Times New Roman"/>
                                              <w:sz w:val="131"/>
                                              <w:szCs w:val="131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4DE0" w:rsidRPr="00A54DE0" w:rsidRDefault="00A54DE0" w:rsidP="00A54DE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96"/>
                                    </w:tblGrid>
                                    <w:tr w:rsidR="00A54DE0" w:rsidRPr="00A54DE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4DE0" w:rsidRPr="00A54DE0" w:rsidRDefault="00A54DE0" w:rsidP="00A54DE0">
                                          <w:pPr>
                                            <w:spacing w:after="0" w:line="33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</w:pPr>
                                          <w:r w:rsidRPr="00A54DE0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w:t>127 rue de Grenelle</w:t>
                                          </w:r>
                                        </w:p>
                                        <w:p w:rsidR="00A54DE0" w:rsidRPr="00A54DE0" w:rsidRDefault="00A54DE0" w:rsidP="00A54DE0">
                                          <w:pPr>
                                            <w:spacing w:after="0" w:line="33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</w:pPr>
                                          <w:r w:rsidRPr="00A54DE0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w:t>75007 PARIS 07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4DE0" w:rsidRPr="00A54DE0" w:rsidRDefault="00A54DE0" w:rsidP="00A54DE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DE0" w:rsidRPr="00A54DE0" w:rsidRDefault="00A54DE0" w:rsidP="00A54D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A54DE0" w:rsidRPr="00A54DE0" w:rsidRDefault="00A54DE0" w:rsidP="00A5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A54DE0" w:rsidRPr="00A54DE0" w:rsidRDefault="00A54DE0" w:rsidP="00A5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54DE0" w:rsidRPr="00A54DE0" w:rsidRDefault="00A54DE0" w:rsidP="00A5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54DE0" w:rsidRPr="00A54DE0" w:rsidRDefault="00A54DE0" w:rsidP="00A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54DE0" w:rsidRPr="00A54DE0" w:rsidRDefault="00A54DE0" w:rsidP="00A5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54DE0" w:rsidRPr="00A54DE0" w:rsidTr="00A54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"/>
              <w:gridCol w:w="8809"/>
              <w:gridCol w:w="131"/>
            </w:tblGrid>
            <w:tr w:rsidR="00A54DE0" w:rsidRPr="00A54DE0"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54DE0" w:rsidRPr="00A54DE0" w:rsidRDefault="00A54DE0" w:rsidP="00A54DE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fr-FR"/>
                    </w:rPr>
                  </w:pPr>
                </w:p>
              </w:tc>
              <w:tc>
                <w:tcPr>
                  <w:tcW w:w="9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9"/>
                  </w:tblGrid>
                  <w:tr w:rsidR="00A54DE0" w:rsidRPr="00A54DE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9"/>
                        </w:tblGrid>
                        <w:tr w:rsidR="00A54DE0" w:rsidRPr="00A54DE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9"/>
                              </w:tblGrid>
                              <w:tr w:rsidR="00A54DE0" w:rsidRPr="00A54DE0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09"/>
                                    </w:tblGrid>
                                    <w:tr w:rsidR="00A54DE0" w:rsidRPr="00A54DE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4DE0" w:rsidRPr="00A54DE0" w:rsidRDefault="00A54DE0" w:rsidP="00A54DE0">
                                          <w:pPr>
                                            <w:spacing w:after="0" w:line="22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</w:pPr>
                                          <w:r w:rsidRPr="00A54DE0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w:t>Conformément à la loi informatique et libertés du 06/01/1978 (art.27) et au Règlement Général sur la Protection des Données (Règlement UE 2016/679) ou « RGPD », vous disposez d'un droit d'accès et de rectification des données vou</w:t>
                                          </w:r>
                                          <w:r w:rsidRPr="00A54DE0"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17"/>
                                              <w:szCs w:val="17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w:t>s </w:t>
                                          </w:r>
                                          <w:r w:rsidRPr="00A54DE0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w:t>concernant. Vous pouvez exercer vos droits en adressant un e-mail à l’adresse</w:t>
                                          </w:r>
                                          <w:r w:rsidRPr="00A54DE0"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17"/>
                                              <w:szCs w:val="17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w:t> </w:t>
                                          </w:r>
                                          <w:hyperlink r:id="rId8" w:tgtFrame="_blank" w:history="1">
                                            <w:r w:rsidRPr="00A54DE0">
                                              <w:rPr>
                                                <w:rFonts w:ascii="Arial" w:eastAsia="Times New Roman" w:hAnsi="Arial" w:cs="Arial"/>
                                                <w:color w:val="0595D6"/>
                                                <w:sz w:val="17"/>
                                                <w:szCs w:val="17"/>
                                                <w:u w:val="single"/>
                                                <w:bdr w:val="none" w:sz="0" w:space="0" w:color="auto" w:frame="1"/>
                                                <w:lang w:eastAsia="fr-FR"/>
                                              </w:rPr>
                                              <w:t>DDC-RGPD-CAB@ddc.social.gouv.fr</w:t>
                                            </w:r>
                                          </w:hyperlink>
                                          <w:r w:rsidRPr="00A54DE0"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17"/>
                                              <w:szCs w:val="17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4DE0" w:rsidRPr="00A54DE0" w:rsidRDefault="00A54DE0" w:rsidP="00A54DE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DE0" w:rsidRPr="00A54DE0" w:rsidRDefault="00A54DE0" w:rsidP="00A54D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A54DE0" w:rsidRPr="00A54DE0" w:rsidRDefault="00A54DE0" w:rsidP="00A5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A54DE0" w:rsidRPr="00A54DE0" w:rsidRDefault="00A54DE0" w:rsidP="00A5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54DE0" w:rsidRPr="00A54DE0" w:rsidRDefault="00A54DE0" w:rsidP="00A5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54DE0" w:rsidRPr="00A54DE0" w:rsidRDefault="00A54DE0" w:rsidP="00A54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54DE0" w:rsidRPr="00A54DE0">
              <w:trPr>
                <w:trHeight w:val="150"/>
              </w:trPr>
              <w:tc>
                <w:tcPr>
                  <w:tcW w:w="9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54DE0" w:rsidRPr="00A54DE0" w:rsidRDefault="00A54DE0" w:rsidP="00A54DE0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fr-FR"/>
                    </w:rPr>
                  </w:pPr>
                  <w:r w:rsidRPr="00A54D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</w:tr>
          </w:tbl>
          <w:p w:rsidR="00A54DE0" w:rsidRPr="00A54DE0" w:rsidRDefault="00A54DE0" w:rsidP="00A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54DE0" w:rsidRPr="00A54DE0" w:rsidTr="00A54DE0">
        <w:tblPrEx>
          <w:shd w:val="clear" w:color="auto" w:fill="FFFFFF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"/>
              <w:gridCol w:w="8811"/>
              <w:gridCol w:w="131"/>
            </w:tblGrid>
            <w:tr w:rsidR="00A54DE0" w:rsidRPr="00A54DE0"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DE0" w:rsidRPr="00A54DE0" w:rsidRDefault="00A54DE0" w:rsidP="00A54DE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fr-FR"/>
                    </w:rPr>
                  </w:pPr>
                </w:p>
              </w:tc>
              <w:tc>
                <w:tcPr>
                  <w:tcW w:w="97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1"/>
                  </w:tblGrid>
                  <w:tr w:rsidR="00A54DE0" w:rsidRPr="00A54DE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11"/>
                        </w:tblGrid>
                        <w:tr w:rsidR="00A54DE0" w:rsidRPr="00A54DE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11"/>
                              </w:tblGrid>
                              <w:tr w:rsidR="00A54DE0" w:rsidRPr="00A54DE0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11"/>
                                    </w:tblGrid>
                                    <w:tr w:rsidR="00A54DE0" w:rsidRPr="00A54DE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4DE0" w:rsidRPr="00A54DE0" w:rsidRDefault="00A54DE0" w:rsidP="00A54DE0">
                                          <w:pPr>
                                            <w:spacing w:after="0" w:line="21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156BA5"/>
                                              <w:sz w:val="20"/>
                                              <w:szCs w:val="20"/>
                                              <w:lang w:eastAsia="fr-FR"/>
                                            </w:rPr>
                                          </w:pPr>
                                          <w:r w:rsidRPr="00A54DE0">
                                            <w:rPr>
                                              <w:rFonts w:ascii="Arial" w:eastAsia="Times New Roman" w:hAnsi="Arial" w:cs="Arial"/>
                                              <w:color w:val="156BA5"/>
                                              <w:sz w:val="20"/>
                                              <w:szCs w:val="20"/>
                                              <w:lang w:eastAsia="fr-FR"/>
                                            </w:rPr>
                                            <w:t>Si vous ne souhaitez plus recevoir nos communications, </w:t>
                                          </w:r>
                                          <w:hyperlink r:id="rId9" w:tgtFrame="_blank" w:history="1">
                                            <w:r w:rsidRPr="00A54DE0">
                                              <w:rPr>
                                                <w:rFonts w:ascii="Arial" w:eastAsia="Times New Roman" w:hAnsi="Arial" w:cs="Arial"/>
                                                <w:color w:val="156BA5"/>
                                                <w:sz w:val="20"/>
                                                <w:szCs w:val="20"/>
                                                <w:u w:val="single"/>
                                                <w:bdr w:val="none" w:sz="0" w:space="0" w:color="auto" w:frame="1"/>
                                                <w:lang w:eastAsia="fr-FR"/>
                                              </w:rPr>
                                              <w:t>suivez ce lien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A54DE0" w:rsidRPr="00A54DE0" w:rsidRDefault="00A54DE0" w:rsidP="00A54DE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DE0" w:rsidRPr="00A54DE0" w:rsidRDefault="00A54DE0" w:rsidP="00A54D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A54DE0" w:rsidRPr="00A54DE0" w:rsidRDefault="00A54DE0" w:rsidP="00A5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A54DE0" w:rsidRPr="00A54DE0" w:rsidRDefault="00A54DE0" w:rsidP="00A5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DE0" w:rsidRPr="00A54DE0" w:rsidRDefault="00A54DE0" w:rsidP="00A5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54DE0" w:rsidRPr="00A54DE0" w:rsidRDefault="00A54DE0" w:rsidP="00A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064B6" w:rsidRDefault="00A064B6"/>
    <w:sectPr w:rsidR="00A06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0"/>
    <w:rsid w:val="0015550F"/>
    <w:rsid w:val="00206CF8"/>
    <w:rsid w:val="00310E95"/>
    <w:rsid w:val="00482187"/>
    <w:rsid w:val="00496A7C"/>
    <w:rsid w:val="00717721"/>
    <w:rsid w:val="00975A5E"/>
    <w:rsid w:val="00A064B6"/>
    <w:rsid w:val="00A54DE0"/>
    <w:rsid w:val="00D40309"/>
    <w:rsid w:val="00EC029B"/>
    <w:rsid w:val="00F12485"/>
    <w:rsid w:val="00F7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1D01-5392-481A-B52A-D1F18E78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177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77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772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C-RGPD-CAB@ddc.social.gouv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unication-retraites@retraites.gouv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0B56-86F4-4CBD-B315-2A16B89E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SOULARD, Aurélie (CAB/RETRAITES)</dc:creator>
  <cp:keywords/>
  <dc:description/>
  <cp:lastModifiedBy>PINATEL-IGOA, Florence (DICOM/BUREAU DE LA COMMUNICATION DIGITALE)</cp:lastModifiedBy>
  <cp:revision>2</cp:revision>
  <cp:lastPrinted>2021-06-17T17:08:00Z</cp:lastPrinted>
  <dcterms:created xsi:type="dcterms:W3CDTF">2021-06-18T07:40:00Z</dcterms:created>
  <dcterms:modified xsi:type="dcterms:W3CDTF">2021-06-18T07:40:00Z</dcterms:modified>
</cp:coreProperties>
</file>